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717AFE">
      <w:pPr>
        <w:widowControl w:val="0"/>
        <w:tabs>
          <w:tab w:val="right" w:pos="9639"/>
        </w:tabs>
        <w:overflowPunct w:val="0"/>
        <w:autoSpaceDE w:val="0"/>
        <w:autoSpaceDN w:val="0"/>
        <w:adjustRightInd w:val="0"/>
        <w:textAlignment w:val="baseline"/>
        <w:rPr>
          <w:rFonts w:ascii="Arial" w:hAnsi="Arial" w:eastAsia="SimSun"/>
          <w:b/>
          <w:bCs/>
          <w:sz w:val="24"/>
          <w:szCs w:val="24"/>
          <w:lang w:val="en-US" w:eastAsia="ja-JP"/>
        </w:rPr>
      </w:pPr>
      <w:bookmarkStart w:id="3" w:name="_GoBack"/>
      <w:bookmarkEnd w:id="3"/>
      <w:r>
        <w:rPr>
          <w:rFonts w:ascii="Arial" w:hAnsi="Arial" w:eastAsia="Arial" w:cs="Arial"/>
          <w:b/>
          <w:bCs/>
          <w:sz w:val="24"/>
          <w:szCs w:val="24"/>
          <w:lang w:val="en-US"/>
        </w:rPr>
        <w:t>3GPP RAN1#119</w:t>
      </w:r>
      <w:r>
        <w:tab/>
      </w:r>
      <w:r>
        <w:rPr>
          <w:rFonts w:ascii="Arial" w:hAnsi="Arial" w:eastAsia="SimSun"/>
          <w:b/>
          <w:bCs/>
          <w:sz w:val="24"/>
          <w:szCs w:val="24"/>
          <w:lang w:val="en-US" w:eastAsia="ja-JP"/>
        </w:rPr>
        <w:t xml:space="preserve"> R1- </w:t>
      </w:r>
      <w:r>
        <w:rPr>
          <w:rFonts w:ascii="Arial" w:hAnsi="Arial" w:eastAsia="Arial" w:cs="Arial"/>
          <w:b/>
          <w:bCs/>
          <w:sz w:val="24"/>
          <w:szCs w:val="24"/>
          <w:lang w:val="en-US"/>
        </w:rPr>
        <w:t>2409976</w:t>
      </w:r>
      <w:r>
        <w:rPr>
          <w:rFonts w:ascii="Arial" w:hAnsi="Arial" w:eastAsia="SimSun"/>
          <w:b/>
          <w:bCs/>
          <w:sz w:val="24"/>
          <w:szCs w:val="24"/>
          <w:lang w:val="en-US" w:eastAsia="ja-JP"/>
        </w:rPr>
        <w:t xml:space="preserve">   </w:t>
      </w:r>
    </w:p>
    <w:p w14:paraId="4825C3BA">
      <w:pPr>
        <w:pStyle w:val="18"/>
        <w:tabs>
          <w:tab w:val="right" w:pos="9639"/>
          <w:tab w:val="clear" w:pos="8306"/>
        </w:tabs>
        <w:rPr>
          <w:sz w:val="24"/>
          <w:szCs w:val="24"/>
          <w:lang w:val="en-US"/>
        </w:rPr>
      </w:pPr>
      <w:r>
        <w:rPr>
          <w:sz w:val="24"/>
          <w:szCs w:val="24"/>
          <w:lang w:val="en-US"/>
        </w:rPr>
        <w:t>18-22 Nov 2024</w:t>
      </w:r>
      <w:r>
        <w:rPr>
          <w:rFonts w:eastAsia="SimSun"/>
          <w:sz w:val="24"/>
          <w:szCs w:val="24"/>
          <w:lang w:val="en-US" w:eastAsia="zh-CN"/>
        </w:rPr>
        <w:t xml:space="preserve">, </w:t>
      </w:r>
      <w:r>
        <w:rPr>
          <w:sz w:val="24"/>
          <w:szCs w:val="24"/>
          <w:lang w:val="en-US"/>
        </w:rPr>
        <w:t>Orlando, US</w:t>
      </w:r>
    </w:p>
    <w:p w14:paraId="672A6659">
      <w:pPr>
        <w:rPr>
          <w:rFonts w:ascii="Arial" w:hAnsi="Arial" w:cs="Arial"/>
          <w:sz w:val="24"/>
          <w:szCs w:val="24"/>
        </w:rPr>
      </w:pPr>
    </w:p>
    <w:p w14:paraId="648D45E0">
      <w:pPr>
        <w:pStyle w:val="32"/>
        <w:tabs>
          <w:tab w:val="left" w:pos="1985"/>
        </w:tabs>
        <w:rPr>
          <w:rFonts w:eastAsia="SimSun" w:cs="Arial"/>
          <w:b/>
          <w:bCs/>
          <w:sz w:val="24"/>
          <w:szCs w:val="24"/>
          <w:lang w:eastAsia="zh-CN"/>
        </w:rPr>
      </w:pPr>
      <w:r>
        <w:rPr>
          <w:rFonts w:cs="Arial"/>
          <w:b/>
          <w:bCs/>
          <w:sz w:val="24"/>
          <w:szCs w:val="24"/>
        </w:rPr>
        <w:t xml:space="preserve">Agenda item:   </w:t>
      </w:r>
      <w:r>
        <w:rPr>
          <w:rFonts w:eastAsia="SimSun" w:cs="Arial"/>
          <w:b/>
          <w:bCs/>
          <w:sz w:val="24"/>
          <w:szCs w:val="24"/>
          <w:lang w:eastAsia="zh-CN"/>
        </w:rPr>
        <w:t>9.4.2.1</w:t>
      </w:r>
    </w:p>
    <w:p w14:paraId="7503AB4A">
      <w:pPr>
        <w:tabs>
          <w:tab w:val="left" w:pos="1985"/>
        </w:tabs>
        <w:ind w:left="1985" w:hanging="1985"/>
        <w:rPr>
          <w:rFonts w:ascii="Arial" w:hAnsi="Arial" w:cs="Arial"/>
          <w:b/>
          <w:bCs/>
          <w:sz w:val="24"/>
          <w:szCs w:val="24"/>
        </w:rPr>
      </w:pPr>
      <w:r>
        <w:rPr>
          <w:rFonts w:ascii="Arial" w:hAnsi="Arial" w:cs="Arial"/>
          <w:b/>
          <w:bCs/>
          <w:sz w:val="24"/>
          <w:szCs w:val="24"/>
        </w:rPr>
        <w:t>Source:             Lekha Wireless Solutions</w:t>
      </w:r>
    </w:p>
    <w:p w14:paraId="54188CF0">
      <w:pPr>
        <w:ind w:left="1985" w:hanging="1985"/>
        <w:rPr>
          <w:rFonts w:ascii="Arial" w:hAnsi="Arial" w:cs="Arial"/>
          <w:b/>
          <w:bCs/>
          <w:sz w:val="24"/>
          <w:szCs w:val="24"/>
          <w:lang w:eastAsia="zh-CN"/>
        </w:rPr>
      </w:pPr>
      <w:r>
        <w:rPr>
          <w:rFonts w:ascii="Arial" w:hAnsi="Arial" w:cs="Arial"/>
          <w:b/>
          <w:bCs/>
          <w:sz w:val="24"/>
          <w:szCs w:val="24"/>
        </w:rPr>
        <w:t xml:space="preserve">Title:                  On </w:t>
      </w:r>
      <w:bookmarkStart w:id="0" w:name="_Hlk158729819"/>
      <w:r>
        <w:rPr>
          <w:rFonts w:ascii="Arial" w:hAnsi="Arial" w:cs="Arial"/>
          <w:b/>
          <w:bCs/>
          <w:sz w:val="24"/>
          <w:szCs w:val="24"/>
          <w:lang w:eastAsia="zh-CN"/>
        </w:rPr>
        <w:t>General Physical Layer Design Considerations for Ambient IoT (internet of things) Applications</w:t>
      </w:r>
      <w:bookmarkEnd w:id="0"/>
    </w:p>
    <w:p w14:paraId="77CD4CB5">
      <w:pPr>
        <w:tabs>
          <w:tab w:val="left" w:pos="1985"/>
        </w:tabs>
        <w:rPr>
          <w:rFonts w:ascii="Arial" w:hAnsi="Arial" w:cs="Arial"/>
          <w:b/>
          <w:bCs/>
          <w:sz w:val="24"/>
          <w:szCs w:val="24"/>
          <w:lang w:eastAsia="zh-CN"/>
        </w:rPr>
      </w:pPr>
      <w:r>
        <w:rPr>
          <w:rFonts w:ascii="Arial" w:hAnsi="Arial" w:cs="Arial"/>
          <w:b/>
          <w:bCs/>
          <w:sz w:val="24"/>
          <w:szCs w:val="24"/>
        </w:rPr>
        <w:t>Document for:  Decision, Discussion</w:t>
      </w:r>
    </w:p>
    <w:p w14:paraId="0A37501D">
      <w:pPr>
        <w:pBdr>
          <w:bottom w:val="single" w:color="000000" w:sz="4" w:space="1"/>
        </w:pBdr>
        <w:rPr>
          <w:rFonts w:ascii="Arial" w:hAnsi="Arial" w:cs="Arial"/>
          <w:sz w:val="24"/>
          <w:szCs w:val="24"/>
        </w:rPr>
      </w:pPr>
    </w:p>
    <w:p w14:paraId="5DAB6C7B">
      <w:pPr>
        <w:rPr>
          <w:rFonts w:ascii="Arial" w:hAnsi="Arial" w:cs="Arial"/>
          <w:sz w:val="24"/>
          <w:szCs w:val="24"/>
        </w:rPr>
      </w:pPr>
    </w:p>
    <w:p w14:paraId="32A36C38">
      <w:pPr>
        <w:spacing w:after="120"/>
        <w:rPr>
          <w:rFonts w:ascii="Arial" w:hAnsi="Arial" w:cs="Arial"/>
          <w:b/>
          <w:bCs/>
          <w:sz w:val="24"/>
          <w:szCs w:val="24"/>
        </w:rPr>
      </w:pPr>
      <w:r>
        <w:rPr>
          <w:rFonts w:ascii="Arial" w:hAnsi="Arial" w:cs="Arial"/>
          <w:b/>
          <w:bCs/>
          <w:sz w:val="24"/>
          <w:szCs w:val="24"/>
        </w:rPr>
        <w:t>1. Introduction</w:t>
      </w:r>
    </w:p>
    <w:p w14:paraId="4025C200">
      <w:pPr>
        <w:spacing w:after="120" w:afterLines="50"/>
        <w:jc w:val="both"/>
        <w:rPr>
          <w:sz w:val="24"/>
          <w:szCs w:val="24"/>
        </w:rPr>
      </w:pPr>
      <w:r>
        <w:rPr>
          <w:sz w:val="24"/>
          <w:szCs w:val="24"/>
        </w:rPr>
        <w:t xml:space="preserve">In RAN1#118bis [1], general aspects of physical layer design were discussed, and the following agreements were made. </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23065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Borders>
              <w:top w:val="single" w:color="auto" w:sz="4" w:space="0"/>
              <w:left w:val="single" w:color="auto" w:sz="4" w:space="0"/>
              <w:bottom w:val="single" w:color="auto" w:sz="4" w:space="0"/>
              <w:right w:val="single" w:color="auto" w:sz="4" w:space="0"/>
            </w:tcBorders>
            <w:shd w:val="clear" w:color="auto" w:fill="auto"/>
          </w:tcPr>
          <w:p w14:paraId="7CB4CD43">
            <w:pPr>
              <w:spacing w:before="0" w:beforeAutospacing="0" w:after="0" w:afterAutospacing="0"/>
              <w:ind w:left="0"/>
              <w:rPr>
                <w:rFonts w:ascii="Times New Roman" w:hAnsi="Times New Roman" w:eastAsia="Times New Roman" w:cs="Times New Roman"/>
                <w:b/>
                <w:bCs/>
                <w:sz w:val="24"/>
                <w:szCs w:val="24"/>
                <w:highlight w:val="green"/>
                <w:lang w:val="en-GB"/>
              </w:rPr>
            </w:pPr>
            <w:r>
              <w:rPr>
                <w:rFonts w:ascii="Times New Roman" w:hAnsi="Times New Roman" w:eastAsia="Times New Roman" w:cs="Times New Roman"/>
                <w:b/>
                <w:bCs/>
                <w:sz w:val="24"/>
                <w:szCs w:val="24"/>
                <w:highlight w:val="green"/>
                <w:lang w:val="en-GB"/>
              </w:rPr>
              <w:t>Agreement</w:t>
            </w:r>
          </w:p>
          <w:p w14:paraId="0A44125A">
            <w:pPr>
              <w:spacing w:before="0" w:beforeAutospacing="0" w:after="0" w:afterAutospacing="0"/>
              <w:ind w:left="0"/>
              <w:jc w:val="both"/>
              <w:rPr>
                <w:rFonts w:ascii="Times New Roman" w:hAnsi="Times New Roman" w:eastAsia="Times New Roman" w:cs="Times New Roman"/>
                <w:sz w:val="24"/>
                <w:szCs w:val="24"/>
                <w:lang w:val="en-GB"/>
              </w:rPr>
            </w:pPr>
            <w:r>
              <w:rPr>
                <w:rFonts w:ascii="Times New Roman" w:hAnsi="Times New Roman" w:eastAsia="Times New Roman" w:cs="Times New Roman"/>
                <w:sz w:val="24"/>
                <w:szCs w:val="24"/>
                <w:lang w:val="en-GB"/>
              </w:rPr>
              <w:t>For D2R FEC study, the LTE convolutional code polynomials are a reference. Other designs can be studied subject to:</w:t>
            </w:r>
          </w:p>
          <w:p w14:paraId="59816229">
            <w:pPr>
              <w:pStyle w:val="33"/>
              <w:numPr>
                <w:ilvl w:val="0"/>
                <w:numId w:val="5"/>
              </w:numPr>
              <w:spacing w:before="0" w:beforeAutospacing="0" w:after="0" w:afterAutospacing="0"/>
              <w:jc w:val="both"/>
              <w:rPr>
                <w:rFonts w:ascii="Times New Roman" w:hAnsi="Times New Roman" w:eastAsia="Times New Roman" w:cs="Times New Roman"/>
                <w:sz w:val="24"/>
                <w:szCs w:val="24"/>
                <w:lang w:val="en-GB"/>
              </w:rPr>
            </w:pPr>
            <w:r>
              <w:rPr>
                <w:rFonts w:ascii="Times New Roman" w:hAnsi="Times New Roman" w:eastAsia="Times New Roman" w:cs="Times New Roman"/>
                <w:sz w:val="24"/>
                <w:szCs w:val="24"/>
                <w:lang w:val="en-GB"/>
              </w:rPr>
              <w:t>Constraint length K = 8 or K = 7 or K = 6 or K = 4 for further study</w:t>
            </w:r>
          </w:p>
          <w:p w14:paraId="2ECFC3B1">
            <w:pPr>
              <w:pStyle w:val="33"/>
              <w:numPr>
                <w:ilvl w:val="0"/>
                <w:numId w:val="5"/>
              </w:numPr>
              <w:spacing w:before="0" w:beforeAutospacing="0" w:after="0" w:afterAutospacing="0"/>
              <w:jc w:val="both"/>
              <w:rPr>
                <w:rFonts w:ascii="Times New Roman" w:hAnsi="Times New Roman" w:eastAsia="Times New Roman" w:cs="Times New Roman"/>
                <w:sz w:val="24"/>
                <w:szCs w:val="24"/>
                <w:lang w:val="en-GB"/>
              </w:rPr>
            </w:pPr>
            <w:r>
              <w:rPr>
                <w:rFonts w:ascii="Times New Roman" w:hAnsi="Times New Roman" w:eastAsia="Times New Roman" w:cs="Times New Roman"/>
                <w:sz w:val="24"/>
                <w:szCs w:val="24"/>
                <w:lang w:val="en-GB"/>
              </w:rPr>
              <w:t>Mother code-rate R = 1/6, 1/4, 1/3, 1/2 for further study</w:t>
            </w:r>
          </w:p>
          <w:p w14:paraId="5AA9D281">
            <w:pPr>
              <w:pStyle w:val="33"/>
              <w:numPr>
                <w:ilvl w:val="0"/>
                <w:numId w:val="5"/>
              </w:numPr>
              <w:spacing w:before="0" w:beforeAutospacing="0" w:after="0" w:afterAutospacing="0"/>
              <w:jc w:val="both"/>
              <w:rPr>
                <w:rFonts w:ascii="Times New Roman" w:hAnsi="Times New Roman" w:eastAsia="Times New Roman" w:cs="Times New Roman"/>
                <w:sz w:val="24"/>
                <w:szCs w:val="24"/>
                <w:lang w:val="en-GB"/>
              </w:rPr>
            </w:pPr>
            <w:r>
              <w:rPr>
                <w:rFonts w:ascii="Times New Roman" w:hAnsi="Times New Roman" w:eastAsia="Times New Roman" w:cs="Times New Roman"/>
                <w:sz w:val="24"/>
                <w:szCs w:val="24"/>
                <w:lang w:val="en-GB"/>
              </w:rPr>
              <w:t>FFS other details, e.g. final code rate by puncturing, shift-register initialization/termination.</w:t>
            </w:r>
          </w:p>
          <w:p w14:paraId="623BDBD7">
            <w:pPr>
              <w:pStyle w:val="33"/>
              <w:spacing w:before="0" w:beforeAutospacing="0" w:after="0" w:afterAutospacing="0"/>
              <w:ind w:left="720"/>
              <w:rPr>
                <w:rFonts w:ascii="Times New Roman" w:hAnsi="Times New Roman" w:eastAsia="Times New Roman" w:cs="Times New Roman"/>
                <w:sz w:val="24"/>
                <w:szCs w:val="24"/>
                <w:lang w:val="en-GB"/>
              </w:rPr>
            </w:pPr>
            <w:r>
              <w:rPr>
                <w:rFonts w:ascii="Times New Roman" w:hAnsi="Times New Roman" w:eastAsia="Times New Roman" w:cs="Times New Roman"/>
                <w:sz w:val="24"/>
                <w:szCs w:val="24"/>
                <w:lang w:val="en-GB"/>
              </w:rPr>
              <w:t xml:space="preserve"> </w:t>
            </w:r>
          </w:p>
          <w:p w14:paraId="0A2464AD">
            <w:pPr>
              <w:spacing w:before="0" w:beforeAutospacing="0" w:after="0" w:afterAutospacing="0"/>
              <w:ind w:left="0"/>
              <w:jc w:val="both"/>
              <w:rPr>
                <w:rFonts w:ascii="Times New Roman" w:hAnsi="Times New Roman" w:eastAsia="Times New Roman" w:cs="Times New Roman"/>
                <w:b/>
                <w:bCs/>
                <w:sz w:val="24"/>
                <w:szCs w:val="24"/>
                <w:highlight w:val="green"/>
                <w:lang w:val="en-GB"/>
              </w:rPr>
            </w:pPr>
            <w:r>
              <w:rPr>
                <w:rFonts w:ascii="Times New Roman" w:hAnsi="Times New Roman" w:eastAsia="Times New Roman" w:cs="Times New Roman"/>
                <w:b/>
                <w:bCs/>
                <w:sz w:val="24"/>
                <w:szCs w:val="24"/>
                <w:highlight w:val="green"/>
                <w:lang w:val="en-GB"/>
              </w:rPr>
              <w:t>Agreement</w:t>
            </w:r>
          </w:p>
          <w:p w14:paraId="15799337">
            <w:pPr>
              <w:spacing w:before="0" w:beforeAutospacing="0" w:after="0" w:afterAutospacing="0" w:line="257" w:lineRule="auto"/>
              <w:ind w:left="0"/>
              <w:jc w:val="both"/>
              <w:rPr>
                <w:rFonts w:ascii="Times New Roman" w:hAnsi="Times New Roman" w:eastAsia="Times New Roman" w:cs="Times New Roman"/>
                <w:sz w:val="24"/>
                <w:szCs w:val="24"/>
                <w:lang w:val="en-GB"/>
              </w:rPr>
            </w:pPr>
            <w:r>
              <w:rPr>
                <w:rFonts w:ascii="Times New Roman" w:hAnsi="Times New Roman" w:eastAsia="Times New Roman" w:cs="Times New Roman"/>
                <w:sz w:val="24"/>
                <w:szCs w:val="24"/>
                <w:lang w:val="en-GB"/>
              </w:rPr>
              <w:t>For D2R line codes, the study assumes the following codewords corresponding to an information bit 0 or bit 1, before considering potential small frequency-shifting:</w:t>
            </w:r>
          </w:p>
          <w:p w14:paraId="30200327">
            <w:pPr>
              <w:pStyle w:val="33"/>
              <w:numPr>
                <w:ilvl w:val="0"/>
                <w:numId w:val="6"/>
              </w:numPr>
              <w:spacing w:before="0" w:beforeAutospacing="0" w:after="0" w:afterAutospacing="0" w:line="257" w:lineRule="auto"/>
              <w:jc w:val="both"/>
              <w:rPr>
                <w:rFonts w:ascii="Times New Roman" w:hAnsi="Times New Roman" w:eastAsia="Times New Roman" w:cs="Times New Roman"/>
                <w:sz w:val="24"/>
                <w:szCs w:val="24"/>
                <w:lang w:val="en-GB"/>
              </w:rPr>
            </w:pPr>
            <w:r>
              <w:rPr>
                <w:rFonts w:ascii="Times New Roman" w:hAnsi="Times New Roman" w:eastAsia="Times New Roman" w:cs="Times New Roman"/>
                <w:sz w:val="24"/>
                <w:szCs w:val="24"/>
                <w:lang w:val="en-GB"/>
              </w:rPr>
              <w:t>For FM0:</w:t>
            </w:r>
          </w:p>
          <w:p w14:paraId="7DF8E781">
            <w:pPr>
              <w:pStyle w:val="33"/>
              <w:numPr>
                <w:ilvl w:val="0"/>
                <w:numId w:val="7"/>
              </w:numPr>
              <w:spacing w:before="0" w:beforeAutospacing="0" w:after="0" w:afterAutospacing="0" w:line="257" w:lineRule="auto"/>
              <w:jc w:val="both"/>
              <w:rPr>
                <w:rFonts w:ascii="Times New Roman" w:hAnsi="Times New Roman" w:eastAsia="Times New Roman" w:cs="Times New Roman"/>
                <w:sz w:val="24"/>
                <w:szCs w:val="24"/>
                <w:lang w:val="en-GB"/>
              </w:rPr>
            </w:pPr>
            <w:r>
              <w:rPr>
                <w:rFonts w:ascii="Times New Roman" w:hAnsi="Times New Roman" w:eastAsia="Times New Roman" w:cs="Times New Roman"/>
                <w:sz w:val="24"/>
                <w:szCs w:val="24"/>
                <w:lang w:val="en-GB"/>
              </w:rPr>
              <w:t xml:space="preserve">      According to Figures 6-8 and 6-9 of UHF RFID standard</w:t>
            </w:r>
          </w:p>
          <w:p w14:paraId="28CA5EEF">
            <w:pPr>
              <w:pStyle w:val="33"/>
              <w:numPr>
                <w:ilvl w:val="0"/>
                <w:numId w:val="8"/>
              </w:numPr>
              <w:spacing w:before="0" w:beforeAutospacing="0" w:after="0" w:afterAutospacing="0" w:line="257" w:lineRule="auto"/>
              <w:jc w:val="both"/>
              <w:rPr>
                <w:rFonts w:ascii="Times New Roman" w:hAnsi="Times New Roman" w:eastAsia="Times New Roman" w:cs="Times New Roman"/>
                <w:sz w:val="24"/>
                <w:szCs w:val="24"/>
                <w:lang w:val="en-GB"/>
              </w:rPr>
            </w:pPr>
            <w:r>
              <w:rPr>
                <w:rFonts w:ascii="Times New Roman" w:hAnsi="Times New Roman" w:eastAsia="Times New Roman" w:cs="Times New Roman"/>
                <w:sz w:val="24"/>
                <w:szCs w:val="24"/>
                <w:lang w:val="en-GB"/>
              </w:rPr>
              <w:t>For Miller:</w:t>
            </w:r>
          </w:p>
          <w:p w14:paraId="1935D601">
            <w:pPr>
              <w:pStyle w:val="33"/>
              <w:numPr>
                <w:ilvl w:val="0"/>
                <w:numId w:val="9"/>
              </w:numPr>
              <w:spacing w:before="0" w:beforeAutospacing="0" w:after="0" w:afterAutospacing="0" w:line="257" w:lineRule="auto"/>
              <w:jc w:val="both"/>
              <w:rPr>
                <w:rFonts w:ascii="Times New Roman" w:hAnsi="Times New Roman" w:eastAsia="Times New Roman" w:cs="Times New Roman"/>
                <w:sz w:val="24"/>
                <w:szCs w:val="24"/>
                <w:lang w:val="en-GB"/>
              </w:rPr>
            </w:pPr>
            <w:r>
              <w:rPr>
                <w:rFonts w:ascii="Times New Roman" w:hAnsi="Times New Roman" w:eastAsia="Times New Roman" w:cs="Times New Roman"/>
                <w:sz w:val="24"/>
                <w:szCs w:val="24"/>
                <w:lang w:val="en-GB"/>
              </w:rPr>
              <w:t xml:space="preserve">     According to Figure 6-12 of UHF RFID standard.</w:t>
            </w:r>
          </w:p>
          <w:p w14:paraId="4D413174">
            <w:pPr>
              <w:spacing w:before="0" w:beforeAutospacing="0" w:after="0" w:afterAutospacing="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w:t>
            </w:r>
          </w:p>
          <w:p w14:paraId="7153C1BE">
            <w:pPr>
              <w:spacing w:before="0" w:beforeAutospacing="0" w:after="0" w:afterAutospacing="0"/>
              <w:jc w:val="both"/>
              <w:rPr>
                <w:rFonts w:ascii="Times New Roman" w:hAnsi="Times New Roman" w:eastAsia="Times New Roman" w:cs="Times New Roman"/>
                <w:b/>
                <w:bCs/>
                <w:sz w:val="24"/>
                <w:szCs w:val="24"/>
                <w:highlight w:val="green"/>
                <w:lang w:val="en-GB"/>
              </w:rPr>
            </w:pPr>
            <w:r>
              <w:rPr>
                <w:rFonts w:ascii="Times New Roman" w:hAnsi="Times New Roman" w:eastAsia="Times New Roman" w:cs="Times New Roman"/>
                <w:sz w:val="24"/>
                <w:szCs w:val="24"/>
              </w:rPr>
              <w:t xml:space="preserve"> </w:t>
            </w:r>
            <w:r>
              <w:rPr>
                <w:rFonts w:ascii="Times New Roman" w:hAnsi="Times New Roman" w:eastAsia="Times New Roman" w:cs="Times New Roman"/>
                <w:b/>
                <w:bCs/>
                <w:sz w:val="24"/>
                <w:szCs w:val="24"/>
                <w:highlight w:val="green"/>
                <w:lang w:val="en-GB"/>
              </w:rPr>
              <w:t>Agreement</w:t>
            </w:r>
          </w:p>
          <w:p w14:paraId="03670869">
            <w:pPr>
              <w:pStyle w:val="33"/>
              <w:numPr>
                <w:ilvl w:val="0"/>
                <w:numId w:val="10"/>
              </w:numPr>
              <w:spacing w:before="0" w:beforeAutospacing="0" w:after="0" w:afterAutospacing="0"/>
              <w:ind w:left="720" w:hanging="360"/>
              <w:jc w:val="both"/>
              <w:rPr>
                <w:rFonts w:ascii="Times New Roman" w:hAnsi="Times New Roman" w:eastAsia="Times New Roman" w:cs="Times New Roman"/>
                <w:b w:val="0"/>
                <w:bCs w:val="0"/>
                <w:sz w:val="24"/>
                <w:szCs w:val="24"/>
                <w:lang w:val="en-GB"/>
              </w:rPr>
            </w:pPr>
            <w:r>
              <w:rPr>
                <w:rFonts w:ascii="Times New Roman" w:hAnsi="Times New Roman" w:eastAsia="Times New Roman" w:cs="Times New Roman"/>
                <w:b w:val="0"/>
                <w:bCs w:val="0"/>
                <w:sz w:val="24"/>
                <w:szCs w:val="24"/>
                <w:lang w:val="en-GB"/>
              </w:rPr>
              <w:t>OOK and Binary PSK for baseband modulation are feasible for D2R for all devices.</w:t>
            </w:r>
          </w:p>
          <w:p w14:paraId="31A1163A">
            <w:pPr>
              <w:pStyle w:val="33"/>
              <w:numPr>
                <w:ilvl w:val="0"/>
                <w:numId w:val="10"/>
              </w:numPr>
              <w:spacing w:before="0" w:beforeAutospacing="0" w:after="0" w:afterAutospacing="0"/>
              <w:ind w:left="720" w:hanging="360"/>
              <w:jc w:val="both"/>
              <w:rPr>
                <w:rFonts w:ascii="Times New Roman" w:hAnsi="Times New Roman" w:eastAsia="Times New Roman" w:cs="Times New Roman"/>
                <w:b w:val="0"/>
                <w:bCs w:val="0"/>
                <w:sz w:val="24"/>
                <w:szCs w:val="24"/>
                <w:lang w:val="en-GB"/>
              </w:rPr>
            </w:pPr>
            <w:r>
              <w:rPr>
                <w:rFonts w:ascii="Times New Roman" w:hAnsi="Times New Roman" w:eastAsia="Times New Roman" w:cs="Times New Roman"/>
                <w:b w:val="0"/>
                <w:bCs w:val="0"/>
                <w:sz w:val="24"/>
                <w:szCs w:val="24"/>
                <w:lang w:val="en-GB"/>
              </w:rPr>
              <w:t>The variant of Binary FSK to study further for all devices is identified as MSK (and not GMSK)</w:t>
            </w:r>
          </w:p>
          <w:p w14:paraId="41E0FB3E">
            <w:pPr>
              <w:pStyle w:val="33"/>
              <w:numPr>
                <w:ilvl w:val="1"/>
                <w:numId w:val="10"/>
              </w:numPr>
              <w:spacing w:before="0" w:beforeAutospacing="0" w:after="0" w:afterAutospacing="0"/>
              <w:ind w:left="1440" w:hanging="360"/>
              <w:jc w:val="both"/>
              <w:rPr>
                <w:rFonts w:ascii="Times New Roman" w:hAnsi="Times New Roman" w:eastAsia="Times New Roman" w:cs="Times New Roman"/>
                <w:sz w:val="24"/>
                <w:szCs w:val="24"/>
              </w:rPr>
            </w:pPr>
            <w:r>
              <w:rPr>
                <w:rFonts w:ascii="Times New Roman" w:hAnsi="Times New Roman" w:eastAsia="Times New Roman" w:cs="Times New Roman"/>
                <w:b w:val="0"/>
                <w:bCs w:val="0"/>
                <w:sz w:val="24"/>
                <w:szCs w:val="24"/>
                <w:lang w:val="en-GB"/>
              </w:rPr>
              <w:t>FFS: whether MSK is feasible for all devices</w:t>
            </w:r>
          </w:p>
          <w:p w14:paraId="3A827EAF">
            <w:pPr>
              <w:pStyle w:val="33"/>
              <w:spacing w:before="0" w:beforeAutospacing="0" w:after="0" w:afterAutospacing="0"/>
              <w:ind w:left="1080" w:firstLine="0"/>
              <w:jc w:val="both"/>
              <w:rPr>
                <w:rFonts w:ascii="Times New Roman" w:hAnsi="Times New Roman" w:eastAsia="Times New Roman" w:cs="Times New Roman"/>
                <w:sz w:val="24"/>
                <w:szCs w:val="24"/>
              </w:rPr>
            </w:pPr>
          </w:p>
          <w:p w14:paraId="5BF98F88">
            <w:pPr>
              <w:spacing w:before="0" w:beforeAutospacing="0" w:after="0" w:afterAutospacing="0"/>
              <w:jc w:val="both"/>
              <w:rPr>
                <w:rFonts w:ascii="Times New Roman" w:hAnsi="Times New Roman" w:eastAsia="Times New Roman" w:cs="Times New Roman"/>
                <w:b/>
                <w:bCs/>
                <w:sz w:val="24"/>
                <w:szCs w:val="24"/>
                <w:highlight w:val="green"/>
                <w:lang w:val="en-GB"/>
              </w:rPr>
            </w:pPr>
            <w:r>
              <w:rPr>
                <w:rFonts w:ascii="Times New Roman" w:hAnsi="Times New Roman" w:eastAsia="Times New Roman" w:cs="Times New Roman"/>
                <w:b/>
                <w:bCs/>
                <w:sz w:val="24"/>
                <w:szCs w:val="24"/>
                <w:highlight w:val="green"/>
                <w:lang w:val="en-GB"/>
              </w:rPr>
              <w:t xml:space="preserve">Agreement </w:t>
            </w:r>
          </w:p>
          <w:p w14:paraId="5364C45B">
            <w:pPr>
              <w:spacing w:before="0" w:beforeAutospacing="0" w:after="0" w:afterAutospacing="0"/>
              <w:jc w:val="both"/>
            </w:pPr>
            <w:r>
              <w:rPr>
                <w:rFonts w:ascii="Times New Roman" w:hAnsi="Times New Roman" w:eastAsia="Times New Roman" w:cs="Times New Roman"/>
                <w:sz w:val="24"/>
                <w:szCs w:val="24"/>
                <w:lang w:val="en-GB"/>
              </w:rPr>
              <w:t>Define repetition types for study purposes as follows:</w:t>
            </w:r>
          </w:p>
          <w:p w14:paraId="1D0CDDB7">
            <w:pPr>
              <w:pStyle w:val="33"/>
              <w:numPr>
                <w:ilvl w:val="0"/>
                <w:numId w:val="11"/>
              </w:numPr>
              <w:spacing w:before="0" w:beforeAutospacing="0" w:after="0" w:afterAutospacing="0"/>
              <w:ind w:left="720" w:hanging="360"/>
              <w:jc w:val="both"/>
              <w:rPr>
                <w:rFonts w:ascii="Times New Roman" w:hAnsi="Times New Roman" w:eastAsia="Times New Roman" w:cs="Times New Roman"/>
                <w:sz w:val="24"/>
                <w:szCs w:val="24"/>
                <w:lang w:val="en-GB"/>
              </w:rPr>
            </w:pPr>
            <w:r>
              <w:rPr>
                <w:rFonts w:ascii="Times New Roman" w:hAnsi="Times New Roman" w:eastAsia="Times New Roman" w:cs="Times New Roman"/>
                <w:sz w:val="24"/>
                <w:szCs w:val="24"/>
                <w:lang w:val="en-GB"/>
              </w:rPr>
              <w:t>Block level: All the bits received from higher layers and/or physical layer (according to what is present) after CRC attachment (if used) are blockwise repeated Rblock times</w:t>
            </w:r>
          </w:p>
          <w:p w14:paraId="32287DA8">
            <w:pPr>
              <w:pStyle w:val="33"/>
              <w:numPr>
                <w:ilvl w:val="0"/>
                <w:numId w:val="11"/>
              </w:numPr>
              <w:spacing w:before="0" w:beforeAutospacing="0" w:after="0" w:afterAutospacing="0"/>
              <w:ind w:left="720" w:hanging="360"/>
              <w:jc w:val="both"/>
              <w:rPr>
                <w:rFonts w:ascii="Times New Roman" w:hAnsi="Times New Roman" w:eastAsia="Times New Roman" w:cs="Times New Roman"/>
                <w:sz w:val="24"/>
                <w:szCs w:val="24"/>
                <w:lang w:val="en-GB"/>
              </w:rPr>
            </w:pPr>
            <w:r>
              <w:rPr>
                <w:rFonts w:ascii="Times New Roman" w:hAnsi="Times New Roman" w:eastAsia="Times New Roman" w:cs="Times New Roman"/>
                <w:sz w:val="24"/>
                <w:szCs w:val="24"/>
                <w:lang w:val="en-GB"/>
              </w:rPr>
              <w:t>Bit level type 1: Each bit after CRC attachment (if used) is repeated Rbit times</w:t>
            </w:r>
          </w:p>
          <w:p w14:paraId="42B1946A">
            <w:pPr>
              <w:pStyle w:val="33"/>
              <w:numPr>
                <w:ilvl w:val="0"/>
                <w:numId w:val="11"/>
              </w:numPr>
              <w:spacing w:before="0" w:beforeAutospacing="0" w:after="0" w:afterAutospacing="0"/>
              <w:ind w:left="720" w:hanging="360"/>
              <w:jc w:val="both"/>
              <w:rPr>
                <w:rFonts w:ascii="Times New Roman" w:hAnsi="Times New Roman" w:eastAsia="Times New Roman" w:cs="Times New Roman"/>
                <w:sz w:val="24"/>
                <w:szCs w:val="24"/>
                <w:lang w:val="en-GB"/>
              </w:rPr>
            </w:pPr>
            <w:r>
              <w:rPr>
                <w:rFonts w:ascii="Times New Roman" w:hAnsi="Times New Roman" w:eastAsia="Times New Roman" w:cs="Times New Roman"/>
                <w:sz w:val="24"/>
                <w:szCs w:val="24"/>
                <w:lang w:val="en-GB"/>
              </w:rPr>
              <w:t>Bit level type 2: Each bit after both CRC attachment (if used) and FEC (if used) is repeated Rbit times</w:t>
            </w:r>
          </w:p>
          <w:p w14:paraId="692E537B">
            <w:pPr>
              <w:pStyle w:val="33"/>
              <w:numPr>
                <w:ilvl w:val="0"/>
                <w:numId w:val="11"/>
              </w:numPr>
              <w:spacing w:before="0" w:beforeAutospacing="0" w:after="0" w:afterAutospacing="0"/>
              <w:ind w:left="720" w:hanging="360"/>
              <w:jc w:val="both"/>
              <w:rPr>
                <w:rFonts w:ascii="Times New Roman" w:hAnsi="Times New Roman" w:eastAsia="Times New Roman" w:cs="Times New Roman"/>
                <w:sz w:val="24"/>
                <w:szCs w:val="24"/>
                <w:lang w:val="en-GB"/>
              </w:rPr>
            </w:pPr>
            <w:r>
              <w:rPr>
                <w:rFonts w:ascii="Times New Roman" w:hAnsi="Times New Roman" w:eastAsia="Times New Roman" w:cs="Times New Roman"/>
                <w:sz w:val="24"/>
                <w:szCs w:val="24"/>
                <w:lang w:val="en-GB"/>
              </w:rPr>
              <w:t>Chip level: Each chip after line coding (if used) or after square wave modulation (if used) is repeated Rchip times</w:t>
            </w:r>
          </w:p>
          <w:p w14:paraId="52367256">
            <w:pPr>
              <w:pStyle w:val="33"/>
              <w:numPr>
                <w:ilvl w:val="1"/>
                <w:numId w:val="11"/>
              </w:numPr>
              <w:spacing w:before="0" w:beforeAutospacing="0" w:after="0" w:afterAutospacing="0"/>
              <w:ind w:left="1440" w:hanging="360"/>
              <w:jc w:val="both"/>
              <w:rPr>
                <w:rFonts w:ascii="Times New Roman" w:hAnsi="Times New Roman" w:eastAsia="Times New Roman" w:cs="Times New Roman"/>
                <w:sz w:val="24"/>
                <w:szCs w:val="24"/>
                <w:lang w:val="en-GB"/>
              </w:rPr>
            </w:pPr>
            <w:r>
              <w:rPr>
                <w:rFonts w:ascii="Times New Roman" w:hAnsi="Times New Roman" w:eastAsia="Times New Roman" w:cs="Times New Roman"/>
                <w:sz w:val="24"/>
                <w:szCs w:val="24"/>
                <w:lang w:val="en-GB"/>
              </w:rPr>
              <w:t>NOTE: Equivalent to extending the duration of each chip by Rchip times</w:t>
            </w:r>
          </w:p>
          <w:p w14:paraId="44E02860">
            <w:pPr>
              <w:spacing w:before="0" w:beforeAutospacing="0" w:after="0" w:afterAutospacing="0"/>
              <w:jc w:val="both"/>
            </w:pPr>
            <w:r>
              <w:rPr>
                <w:rFonts w:ascii="Times New Roman" w:hAnsi="Times New Roman" w:eastAsia="Times New Roman" w:cs="Times New Roman"/>
                <w:sz w:val="24"/>
                <w:szCs w:val="24"/>
                <w:highlight w:val="green"/>
                <w:lang w:val="en-GB"/>
              </w:rPr>
              <w:t xml:space="preserve"> </w:t>
            </w:r>
          </w:p>
          <w:p w14:paraId="17F80135">
            <w:pPr>
              <w:spacing w:before="0" w:beforeAutospacing="0" w:after="0" w:afterAutospacing="0"/>
              <w:jc w:val="both"/>
              <w:rPr>
                <w:rFonts w:ascii="Times New Roman" w:hAnsi="Times New Roman" w:eastAsia="Times New Roman" w:cs="Times New Roman"/>
                <w:b/>
                <w:bCs/>
                <w:sz w:val="24"/>
                <w:szCs w:val="24"/>
                <w:highlight w:val="green"/>
                <w:lang w:val="en-GB"/>
              </w:rPr>
            </w:pPr>
            <w:r>
              <w:rPr>
                <w:rFonts w:ascii="Times New Roman" w:hAnsi="Times New Roman" w:eastAsia="Times New Roman" w:cs="Times New Roman"/>
                <w:b/>
                <w:bCs/>
                <w:sz w:val="24"/>
                <w:szCs w:val="24"/>
                <w:highlight w:val="green"/>
                <w:lang w:val="en-GB"/>
              </w:rPr>
              <w:t xml:space="preserve">Agreement </w:t>
            </w:r>
          </w:p>
          <w:p w14:paraId="694BF93A">
            <w:pPr>
              <w:spacing w:before="0" w:beforeAutospacing="0" w:after="0" w:afterAutospacing="0"/>
              <w:jc w:val="both"/>
            </w:pPr>
            <w:r>
              <w:rPr>
                <w:rFonts w:ascii="Times New Roman" w:hAnsi="Times New Roman" w:eastAsia="Times New Roman" w:cs="Times New Roman"/>
                <w:sz w:val="24"/>
                <w:szCs w:val="24"/>
                <w:lang w:val="en-GB"/>
              </w:rPr>
              <w:t>For D2R, study at least block-level and bit-level repetition type 1 and type 2.</w:t>
            </w:r>
          </w:p>
          <w:p w14:paraId="26E0879F">
            <w:pPr>
              <w:spacing w:before="0" w:beforeAutospacing="0" w:after="0" w:afterAutospacing="0"/>
              <w:jc w:val="both"/>
              <w:rPr>
                <w:rFonts w:ascii="Times New Roman" w:hAnsi="Times New Roman" w:eastAsia="Times New Roman" w:cs="Times New Roman"/>
                <w:sz w:val="24"/>
                <w:szCs w:val="24"/>
                <w:lang w:val="en-GB"/>
              </w:rPr>
            </w:pPr>
          </w:p>
          <w:p w14:paraId="7960710E">
            <w:pPr>
              <w:spacing w:before="0" w:beforeAutospacing="0" w:after="120" w:afterAutospacing="0"/>
              <w:jc w:val="both"/>
              <w:rPr>
                <w:rFonts w:ascii="Times New Roman" w:hAnsi="Times New Roman" w:eastAsia="Times New Roman" w:cs="Times New Roman"/>
                <w:b/>
                <w:bCs/>
                <w:sz w:val="24"/>
                <w:szCs w:val="24"/>
                <w:highlight w:val="green"/>
                <w:lang w:val="en-GB"/>
              </w:rPr>
            </w:pPr>
            <w:r>
              <w:rPr>
                <w:rFonts w:ascii="Times New Roman" w:hAnsi="Times New Roman" w:eastAsia="Times New Roman" w:cs="Times New Roman"/>
                <w:b/>
                <w:bCs/>
                <w:sz w:val="24"/>
                <w:szCs w:val="24"/>
                <w:highlight w:val="green"/>
                <w:lang w:val="en-GB"/>
              </w:rPr>
              <w:t>Agreement</w:t>
            </w:r>
          </w:p>
          <w:p w14:paraId="4BEF0366">
            <w:pPr>
              <w:spacing w:before="220" w:beforeAutospacing="0" w:after="120" w:afterAutospacing="0"/>
              <w:jc w:val="both"/>
              <w:rPr>
                <w:rFonts w:ascii="Times New Roman" w:hAnsi="Times New Roman" w:eastAsia="Times New Roman" w:cs="Times New Roman"/>
                <w:sz w:val="24"/>
                <w:szCs w:val="24"/>
                <w:lang w:val="en-GB"/>
              </w:rPr>
            </w:pPr>
            <w:r>
              <w:rPr>
                <w:rFonts w:ascii="Times New Roman" w:hAnsi="Times New Roman" w:eastAsia="Times New Roman" w:cs="Times New Roman"/>
                <w:sz w:val="24"/>
                <w:szCs w:val="24"/>
                <w:lang w:val="en-GB"/>
              </w:rPr>
              <w:t>Study</w:t>
            </w:r>
          </w:p>
          <w:p w14:paraId="384CE308">
            <w:pPr>
              <w:pStyle w:val="33"/>
              <w:numPr>
                <w:ilvl w:val="0"/>
                <w:numId w:val="12"/>
              </w:numPr>
              <w:spacing w:before="0" w:beforeAutospacing="0" w:after="0" w:afterAutospacing="0"/>
              <w:ind w:left="720" w:hanging="360"/>
              <w:jc w:val="left"/>
              <w:rPr>
                <w:rFonts w:ascii="Times New Roman" w:hAnsi="Times New Roman" w:eastAsia="Times New Roman" w:cs="Times New Roman"/>
                <w:sz w:val="24"/>
                <w:szCs w:val="24"/>
                <w:lang w:val="en-GB"/>
              </w:rPr>
            </w:pPr>
            <w:r>
              <w:rPr>
                <w:rFonts w:ascii="Times New Roman" w:hAnsi="Times New Roman" w:eastAsia="Times New Roman" w:cs="Times New Roman"/>
                <w:sz w:val="24"/>
                <w:szCs w:val="24"/>
                <w:lang w:val="en-GB"/>
              </w:rPr>
              <w:t>baseline: using 6 bits and 16 bits CRC with polynomials from TS 38.212, or no CRC, for PRDCH</w:t>
            </w:r>
          </w:p>
          <w:p w14:paraId="2C1BCCD0">
            <w:pPr>
              <w:pStyle w:val="33"/>
              <w:numPr>
                <w:ilvl w:val="0"/>
                <w:numId w:val="12"/>
              </w:numPr>
              <w:spacing w:before="0" w:beforeAutospacing="0" w:after="0" w:afterAutospacing="0"/>
              <w:ind w:left="720" w:hanging="360"/>
              <w:jc w:val="left"/>
              <w:rPr>
                <w:rFonts w:ascii="Times New Roman" w:hAnsi="Times New Roman" w:eastAsia="Times New Roman" w:cs="Times New Roman"/>
                <w:sz w:val="24"/>
                <w:szCs w:val="24"/>
                <w:lang w:val="en-GB"/>
              </w:rPr>
            </w:pPr>
            <w:r>
              <w:rPr>
                <w:rFonts w:ascii="Times New Roman" w:hAnsi="Times New Roman" w:eastAsia="Times New Roman" w:cs="Times New Roman"/>
                <w:sz w:val="24"/>
                <w:szCs w:val="24"/>
                <w:lang w:val="en-GB"/>
              </w:rPr>
              <w:t>baseline: using 6 bits and 16 bits CRC with polynomials from TS 38.212, or no CRC, for PDRCH</w:t>
            </w:r>
          </w:p>
          <w:p w14:paraId="33EFF7DA">
            <w:pPr>
              <w:pStyle w:val="33"/>
              <w:numPr>
                <w:ilvl w:val="0"/>
                <w:numId w:val="12"/>
              </w:numPr>
              <w:spacing w:before="0" w:beforeAutospacing="0" w:after="0" w:afterAutospacing="0"/>
              <w:ind w:left="720" w:hanging="360"/>
              <w:jc w:val="left"/>
              <w:rPr>
                <w:rFonts w:ascii="Times New Roman" w:hAnsi="Times New Roman" w:eastAsia="Times New Roman" w:cs="Times New Roman"/>
                <w:sz w:val="24"/>
                <w:szCs w:val="24"/>
                <w:lang w:val="en-GB"/>
              </w:rPr>
            </w:pPr>
            <w:r>
              <w:rPr>
                <w:rFonts w:ascii="Times New Roman" w:hAnsi="Times New Roman" w:eastAsia="Times New Roman" w:cs="Times New Roman"/>
                <w:sz w:val="24"/>
                <w:szCs w:val="24"/>
                <w:lang w:val="en-GB"/>
              </w:rPr>
              <w:t>FFS: details when different CRC lengths or no CRC may be used</w:t>
            </w:r>
          </w:p>
          <w:p w14:paraId="3C1B537E">
            <w:pPr>
              <w:spacing w:before="220" w:beforeAutospacing="0" w:after="120" w:afterAutospacing="0"/>
              <w:jc w:val="both"/>
              <w:rPr>
                <w:rFonts w:ascii="Times New Roman" w:hAnsi="Times New Roman" w:eastAsia="Times New Roman" w:cs="Times New Roman"/>
                <w:sz w:val="24"/>
                <w:szCs w:val="24"/>
                <w:lang w:val="en-GB"/>
              </w:rPr>
            </w:pPr>
            <w:r>
              <w:rPr>
                <w:rFonts w:ascii="Times New Roman" w:hAnsi="Times New Roman" w:eastAsia="Times New Roman" w:cs="Times New Roman"/>
                <w:sz w:val="24"/>
                <w:szCs w:val="24"/>
                <w:lang w:val="en-GB"/>
              </w:rPr>
              <w:t>FFS: other 6 bits and 16 bits CRC with different polynomials than from TS 38.212</w:t>
            </w:r>
          </w:p>
          <w:p w14:paraId="67B85EA9">
            <w:pPr>
              <w:spacing w:before="0" w:beforeAutospacing="0" w:after="0" w:afterAutospacing="0"/>
              <w:jc w:val="both"/>
              <w:rPr>
                <w:rFonts w:ascii="Times New Roman" w:hAnsi="Times New Roman" w:eastAsia="Times New Roman" w:cs="Times New Roman"/>
                <w:sz w:val="24"/>
                <w:szCs w:val="24"/>
                <w:highlight w:val="green"/>
                <w:lang w:val="en-GB"/>
              </w:rPr>
            </w:pPr>
          </w:p>
        </w:tc>
      </w:tr>
    </w:tbl>
    <w:p w14:paraId="33C053CF"/>
    <w:p w14:paraId="2C52FD31">
      <w:pPr>
        <w:overflowPunct w:val="0"/>
        <w:autoSpaceDE w:val="0"/>
        <w:autoSpaceDN w:val="0"/>
        <w:adjustRightInd w:val="0"/>
        <w:textAlignment w:val="baseline"/>
        <w:rPr>
          <w:sz w:val="24"/>
          <w:szCs w:val="24"/>
        </w:rPr>
      </w:pPr>
      <w:r>
        <w:rPr>
          <w:sz w:val="24"/>
          <w:szCs w:val="24"/>
        </w:rPr>
        <w:t xml:space="preserve">This contribution presents our views on physical layer design aspects for ambient IoT applications. </w:t>
      </w:r>
    </w:p>
    <w:p w14:paraId="6A05A809">
      <w:pPr>
        <w:pStyle w:val="18"/>
        <w:tabs>
          <w:tab w:val="clear" w:pos="4153"/>
          <w:tab w:val="clear" w:pos="8306"/>
        </w:tabs>
        <w:rPr>
          <w:rFonts w:ascii="Arial" w:hAnsi="Arial" w:cs="Arial"/>
          <w:sz w:val="24"/>
          <w:szCs w:val="24"/>
        </w:rPr>
      </w:pPr>
    </w:p>
    <w:p w14:paraId="663F7F71">
      <w:pPr>
        <w:spacing w:after="120"/>
        <w:rPr>
          <w:rFonts w:ascii="Arial" w:hAnsi="Arial" w:cs="Arial"/>
          <w:b/>
          <w:bCs/>
          <w:sz w:val="24"/>
          <w:szCs w:val="24"/>
        </w:rPr>
      </w:pPr>
      <w:r>
        <w:rPr>
          <w:rFonts w:ascii="Arial" w:hAnsi="Arial" w:cs="Arial"/>
          <w:b/>
          <w:bCs/>
          <w:sz w:val="24"/>
          <w:szCs w:val="24"/>
        </w:rPr>
        <w:t>2. Discussion</w:t>
      </w:r>
    </w:p>
    <w:p w14:paraId="63BBC5F1">
      <w:pPr>
        <w:jc w:val="both"/>
        <w:rPr>
          <w:b/>
          <w:bCs/>
          <w:sz w:val="24"/>
          <w:szCs w:val="24"/>
        </w:rPr>
      </w:pPr>
      <w:r>
        <w:rPr>
          <w:b/>
          <w:bCs/>
          <w:sz w:val="24"/>
          <w:szCs w:val="24"/>
        </w:rPr>
        <w:t xml:space="preserve">2.1 R2D Line Coding – </w:t>
      </w:r>
      <w:r>
        <w:rPr>
          <w:b w:val="0"/>
          <w:bCs w:val="0"/>
          <w:sz w:val="24"/>
          <w:szCs w:val="24"/>
        </w:rPr>
        <w:t>The below points were agreed upon in RAN1#116-bis [2]:</w:t>
      </w:r>
    </w:p>
    <w:p w14:paraId="54E9B208">
      <w:pPr>
        <w:numPr>
          <w:ilvl w:val="0"/>
          <w:numId w:val="13"/>
        </w:numPr>
        <w:jc w:val="both"/>
        <w:rPr>
          <w:sz w:val="24"/>
          <w:szCs w:val="24"/>
        </w:rPr>
      </w:pPr>
      <w:r>
        <w:rPr>
          <w:sz w:val="24"/>
          <w:szCs w:val="24"/>
        </w:rPr>
        <w:t>Line codes studied are Manchester encoding and pulse-interval encoding (PIE).</w:t>
      </w:r>
    </w:p>
    <w:p w14:paraId="56627404">
      <w:pPr>
        <w:numPr>
          <w:ilvl w:val="0"/>
          <w:numId w:val="13"/>
        </w:numPr>
        <w:jc w:val="both"/>
        <w:rPr>
          <w:sz w:val="24"/>
          <w:szCs w:val="24"/>
        </w:rPr>
      </w:pPr>
      <w:r>
        <w:rPr>
          <w:sz w:val="24"/>
          <w:szCs w:val="24"/>
        </w:rPr>
        <w:t>Mapping(s) from bit(s) to line-code codewords.</w:t>
      </w:r>
    </w:p>
    <w:p w14:paraId="3E13414E">
      <w:pPr>
        <w:numPr>
          <w:ilvl w:val="0"/>
          <w:numId w:val="13"/>
        </w:numPr>
        <w:jc w:val="both"/>
        <w:rPr>
          <w:sz w:val="24"/>
          <w:szCs w:val="24"/>
        </w:rPr>
      </w:pPr>
      <w:r>
        <w:rPr>
          <w:sz w:val="24"/>
          <w:szCs w:val="24"/>
        </w:rPr>
        <w:t>Time domain definition of chips and relation to OFDM symbols, resource allocation unit, etc.</w:t>
      </w:r>
    </w:p>
    <w:p w14:paraId="21D3E435">
      <w:pPr>
        <w:numPr>
          <w:ilvl w:val="0"/>
          <w:numId w:val="13"/>
        </w:numPr>
        <w:jc w:val="both"/>
        <w:rPr>
          <w:sz w:val="24"/>
          <w:szCs w:val="24"/>
        </w:rPr>
      </w:pPr>
      <w:r>
        <w:rPr>
          <w:sz w:val="24"/>
          <w:szCs w:val="24"/>
        </w:rPr>
        <w:t>The SI intends to further down select between Manchester encoding and PIE.</w:t>
      </w:r>
    </w:p>
    <w:p w14:paraId="5A39BBE3">
      <w:pPr>
        <w:rPr>
          <w:sz w:val="24"/>
          <w:szCs w:val="24"/>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15"/>
        <w:gridCol w:w="4816"/>
      </w:tblGrid>
      <w:tr w14:paraId="65CFF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gridSpan w:val="2"/>
            <w:shd w:val="clear" w:color="auto" w:fill="auto"/>
          </w:tcPr>
          <w:p w14:paraId="117EBA01">
            <w:pPr>
              <w:jc w:val="center"/>
              <w:rPr>
                <w:rFonts w:eastAsia="SimSun"/>
                <w:b/>
                <w:bCs/>
                <w:sz w:val="24"/>
                <w:szCs w:val="24"/>
              </w:rPr>
            </w:pPr>
            <w:r>
              <w:rPr>
                <w:rFonts w:eastAsia="SimSun"/>
                <w:b/>
                <w:bCs/>
                <w:sz w:val="24"/>
                <w:szCs w:val="24"/>
              </w:rPr>
              <w:t>Comparison between Manchester encoding and PIE</w:t>
            </w:r>
          </w:p>
        </w:tc>
      </w:tr>
      <w:tr w14:paraId="4B53C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shd w:val="clear" w:color="auto" w:fill="auto"/>
          </w:tcPr>
          <w:p w14:paraId="472B95E5">
            <w:pPr>
              <w:jc w:val="center"/>
              <w:rPr>
                <w:rFonts w:eastAsia="SimSun"/>
                <w:sz w:val="24"/>
                <w:szCs w:val="24"/>
              </w:rPr>
            </w:pPr>
            <w:r>
              <w:rPr>
                <w:rFonts w:eastAsia="SimSun"/>
                <w:sz w:val="24"/>
                <w:szCs w:val="24"/>
              </w:rPr>
              <w:t>Manchester Encoding</w:t>
            </w:r>
          </w:p>
        </w:tc>
        <w:tc>
          <w:tcPr>
            <w:tcW w:w="4816" w:type="dxa"/>
            <w:shd w:val="clear" w:color="auto" w:fill="auto"/>
          </w:tcPr>
          <w:p w14:paraId="760AF95E">
            <w:pPr>
              <w:jc w:val="center"/>
              <w:rPr>
                <w:rFonts w:eastAsia="SimSun"/>
                <w:sz w:val="24"/>
                <w:szCs w:val="24"/>
              </w:rPr>
            </w:pPr>
            <w:r>
              <w:rPr>
                <w:rFonts w:eastAsia="SimSun"/>
                <w:sz w:val="24"/>
                <w:szCs w:val="24"/>
              </w:rPr>
              <w:t>Pulse Interval Encoding</w:t>
            </w:r>
          </w:p>
        </w:tc>
      </w:tr>
      <w:tr w14:paraId="77FC6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shd w:val="clear" w:color="auto" w:fill="auto"/>
          </w:tcPr>
          <w:p w14:paraId="1B297254">
            <w:pPr>
              <w:jc w:val="both"/>
              <w:rPr>
                <w:rFonts w:eastAsia="SimSun"/>
                <w:sz w:val="24"/>
                <w:szCs w:val="24"/>
              </w:rPr>
            </w:pPr>
            <w:r>
              <w:rPr>
                <w:rFonts w:eastAsia="SimSun"/>
                <w:sz w:val="24"/>
                <w:szCs w:val="24"/>
              </w:rPr>
              <w:t>In telecommunication and data storage, Manchester code (also known as phase encoding, or PE) is a line code in which the encoding of each data bit is either low then high, or high then low, for equal time.</w:t>
            </w:r>
          </w:p>
        </w:tc>
        <w:tc>
          <w:tcPr>
            <w:tcW w:w="4816" w:type="dxa"/>
            <w:shd w:val="clear" w:color="auto" w:fill="auto"/>
          </w:tcPr>
          <w:p w14:paraId="0336E565">
            <w:pPr>
              <w:jc w:val="both"/>
              <w:rPr>
                <w:rFonts w:eastAsia="SimSun"/>
                <w:sz w:val="24"/>
                <w:szCs w:val="24"/>
              </w:rPr>
            </w:pPr>
            <w:r>
              <w:rPr>
                <w:rFonts w:eastAsia="SimSun"/>
                <w:sz w:val="24"/>
                <w:szCs w:val="24"/>
              </w:rPr>
              <w:t>Pulse interval encoding (PIE) is a method of transmitting data to an RFID tag by emitting pulses of energy at varying intervals, to indicate the ones and zeroes of binary code stored on that tag.</w:t>
            </w:r>
          </w:p>
        </w:tc>
      </w:tr>
      <w:tr w14:paraId="49462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shd w:val="clear" w:color="auto" w:fill="auto"/>
          </w:tcPr>
          <w:p w14:paraId="20A5D80B">
            <w:pPr>
              <w:jc w:val="both"/>
              <w:rPr>
                <w:rFonts w:eastAsia="SimSun"/>
                <w:sz w:val="24"/>
                <w:szCs w:val="24"/>
              </w:rPr>
            </w:pPr>
            <w:r>
              <w:rPr>
                <w:rFonts w:eastAsia="SimSun"/>
                <w:sz w:val="24"/>
                <w:szCs w:val="24"/>
              </w:rPr>
              <w:t xml:space="preserve">It is a self-clocking signal with no </w:t>
            </w:r>
            <w:bookmarkStart w:id="1" w:name="_Int_TbQlFC7i"/>
            <w:r>
              <w:rPr>
                <w:rFonts w:eastAsia="SimSun"/>
                <w:sz w:val="24"/>
                <w:szCs w:val="24"/>
              </w:rPr>
              <w:t>DC</w:t>
            </w:r>
            <w:bookmarkEnd w:id="1"/>
            <w:r>
              <w:rPr>
                <w:rFonts w:eastAsia="SimSun"/>
                <w:sz w:val="24"/>
                <w:szCs w:val="24"/>
              </w:rPr>
              <w:t xml:space="preserve"> component.</w:t>
            </w:r>
          </w:p>
        </w:tc>
        <w:tc>
          <w:tcPr>
            <w:tcW w:w="4816" w:type="dxa"/>
            <w:shd w:val="clear" w:color="auto" w:fill="auto"/>
          </w:tcPr>
          <w:p w14:paraId="4B4D1CF5">
            <w:pPr>
              <w:jc w:val="both"/>
              <w:rPr>
                <w:rFonts w:eastAsia="SimSun"/>
                <w:sz w:val="24"/>
                <w:szCs w:val="24"/>
              </w:rPr>
            </w:pPr>
            <w:r>
              <w:rPr>
                <w:rFonts w:eastAsia="SimSun"/>
                <w:sz w:val="24"/>
                <w:szCs w:val="24"/>
              </w:rPr>
              <w:t>The messages sent are short compared to the repeat time between messages which allows the receiver to relax to the centre of its detection range between messages.</w:t>
            </w:r>
          </w:p>
        </w:tc>
      </w:tr>
      <w:tr w14:paraId="76C01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shd w:val="clear" w:color="auto" w:fill="auto"/>
          </w:tcPr>
          <w:p w14:paraId="173E56AE">
            <w:pPr>
              <w:jc w:val="both"/>
              <w:rPr>
                <w:rFonts w:eastAsia="SimSun"/>
                <w:sz w:val="24"/>
                <w:szCs w:val="24"/>
              </w:rPr>
            </w:pPr>
            <w:r>
              <w:rPr>
                <w:rFonts w:eastAsia="SimSun"/>
                <w:sz w:val="24"/>
                <w:szCs w:val="24"/>
              </w:rPr>
              <w:t>Manchester encoding extracts a price for its use because it requires two times the bandwidth of the actual data rate being sent through the communications channel.</w:t>
            </w:r>
          </w:p>
        </w:tc>
        <w:tc>
          <w:tcPr>
            <w:tcW w:w="4816" w:type="dxa"/>
            <w:shd w:val="clear" w:color="auto" w:fill="auto"/>
          </w:tcPr>
          <w:p w14:paraId="49FC58FF">
            <w:pPr>
              <w:jc w:val="both"/>
              <w:rPr>
                <w:rFonts w:eastAsia="SimSun"/>
                <w:sz w:val="24"/>
                <w:szCs w:val="24"/>
              </w:rPr>
            </w:pPr>
            <w:r>
              <w:rPr>
                <w:rFonts w:eastAsia="SimSun"/>
                <w:sz w:val="24"/>
                <w:szCs w:val="24"/>
              </w:rPr>
              <w:t>It is asymmetric in pulse width for each symbol which is more sensitive to time delay noise, resulting in higher threshold of detection and lower bit rates</w:t>
            </w:r>
          </w:p>
        </w:tc>
      </w:tr>
      <w:tr w14:paraId="25152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shd w:val="clear" w:color="auto" w:fill="auto"/>
          </w:tcPr>
          <w:p w14:paraId="5DEAE8E4">
            <w:pPr>
              <w:jc w:val="both"/>
              <w:rPr>
                <w:rFonts w:eastAsia="SimSun"/>
                <w:sz w:val="24"/>
                <w:szCs w:val="24"/>
              </w:rPr>
            </w:pPr>
            <w:r>
              <w:rPr>
                <w:rFonts w:eastAsia="SimSun"/>
                <w:sz w:val="24"/>
                <w:szCs w:val="24"/>
              </w:rPr>
              <w:t>It is superior for noise immunity meaning it has a much-improved bit error rate (BER) at low SNRs.</w:t>
            </w:r>
          </w:p>
        </w:tc>
        <w:tc>
          <w:tcPr>
            <w:tcW w:w="4816" w:type="dxa"/>
            <w:shd w:val="clear" w:color="auto" w:fill="auto"/>
          </w:tcPr>
          <w:p w14:paraId="3E309836">
            <w:pPr>
              <w:jc w:val="both"/>
              <w:rPr>
                <w:rFonts w:eastAsia="SimSun"/>
                <w:sz w:val="24"/>
                <w:szCs w:val="24"/>
              </w:rPr>
            </w:pPr>
            <w:r>
              <w:rPr>
                <w:rFonts w:eastAsia="SimSun"/>
                <w:sz w:val="24"/>
                <w:szCs w:val="24"/>
              </w:rPr>
              <w:t>It can be incredibly low power and low cost for the Rx which can be passive or use energy stored from the carrier to power a short burst on its TX for RFID response.</w:t>
            </w:r>
          </w:p>
        </w:tc>
      </w:tr>
    </w:tbl>
    <w:p w14:paraId="41C8F396">
      <w:pPr>
        <w:rPr>
          <w:sz w:val="24"/>
          <w:szCs w:val="24"/>
        </w:rPr>
      </w:pPr>
    </w:p>
    <w:p w14:paraId="0DCE9C36">
      <w:pPr>
        <w:jc w:val="both"/>
        <w:rPr>
          <w:b/>
          <w:bCs/>
          <w:i/>
          <w:iCs/>
          <w:sz w:val="24"/>
          <w:szCs w:val="24"/>
        </w:rPr>
      </w:pPr>
      <w:r>
        <w:rPr>
          <w:b/>
          <w:bCs/>
          <w:i/>
          <w:iCs/>
          <w:sz w:val="24"/>
          <w:szCs w:val="24"/>
        </w:rPr>
        <w:t>Observation 1 - PIE offers promise of low power and low cost but suffers from false edge detection and higher transmit time, whereas redundant coding like Manchester although it uses more spectrum due to the self-clocking of redundancy of transmitting a full clock cycle per bit, can have better data integrity or BER.</w:t>
      </w:r>
    </w:p>
    <w:p w14:paraId="323CDFF1">
      <w:pPr>
        <w:jc w:val="both"/>
        <w:rPr>
          <w:b/>
          <w:bCs/>
          <w:i/>
          <w:iCs/>
          <w:sz w:val="24"/>
          <w:szCs w:val="24"/>
        </w:rPr>
      </w:pPr>
    </w:p>
    <w:p w14:paraId="20E00E2E">
      <w:pPr>
        <w:jc w:val="both"/>
        <w:rPr>
          <w:b/>
          <w:bCs/>
          <w:i/>
          <w:iCs/>
          <w:sz w:val="24"/>
          <w:szCs w:val="24"/>
        </w:rPr>
      </w:pPr>
      <w:r>
        <w:rPr>
          <w:b/>
          <w:bCs/>
          <w:i/>
          <w:iCs/>
          <w:sz w:val="24"/>
          <w:szCs w:val="24"/>
        </w:rPr>
        <w:t>Proposal 1 – Owing to its drawbacks like false edge detection and higher transmit time, pulse interval encoding doesn’t seem to be a good fit for A-IoT R2D line-coding. Hence, Manchester is more preferred in this scenario.</w:t>
      </w:r>
    </w:p>
    <w:p w14:paraId="765AE685">
      <w:pPr>
        <w:jc w:val="both"/>
        <w:rPr>
          <w:b/>
          <w:bCs/>
          <w:i/>
          <w:iCs/>
          <w:sz w:val="24"/>
          <w:szCs w:val="24"/>
        </w:rPr>
      </w:pPr>
    </w:p>
    <w:p w14:paraId="5A4118FD">
      <w:pPr>
        <w:jc w:val="both"/>
        <w:rPr>
          <w:b/>
          <w:bCs/>
          <w:sz w:val="24"/>
          <w:szCs w:val="24"/>
        </w:rPr>
      </w:pPr>
      <w:r>
        <w:rPr>
          <w:b/>
          <w:bCs/>
          <w:sz w:val="24"/>
          <w:szCs w:val="24"/>
        </w:rPr>
        <w:t xml:space="preserve">2.2 D2R Line Coding – </w:t>
      </w:r>
      <w:r>
        <w:rPr>
          <w:b w:val="0"/>
          <w:bCs w:val="0"/>
          <w:sz w:val="24"/>
          <w:szCs w:val="24"/>
        </w:rPr>
        <w:t>The below points were agreed upon in RAN1#116-bis [2]:</w:t>
      </w:r>
    </w:p>
    <w:p w14:paraId="44FCD012">
      <w:pPr>
        <w:pStyle w:val="33"/>
        <w:numPr>
          <w:ilvl w:val="0"/>
          <w:numId w:val="14"/>
        </w:numPr>
        <w:jc w:val="both"/>
        <w:rPr>
          <w:sz w:val="24"/>
          <w:szCs w:val="24"/>
        </w:rPr>
      </w:pPr>
      <w:r>
        <w:rPr>
          <w:sz w:val="24"/>
          <w:szCs w:val="24"/>
        </w:rPr>
        <w:t>Study the following for D2R line coding: Manchester encoding, FM0 encoding, Miller encoding, no line coding.</w:t>
      </w:r>
    </w:p>
    <w:p w14:paraId="2FA715F3">
      <w:pPr>
        <w:pStyle w:val="33"/>
        <w:numPr>
          <w:ilvl w:val="0"/>
          <w:numId w:val="14"/>
        </w:numPr>
        <w:jc w:val="both"/>
        <w:rPr>
          <w:sz w:val="24"/>
          <w:szCs w:val="24"/>
        </w:rPr>
      </w:pPr>
      <w:r>
        <w:rPr>
          <w:sz w:val="24"/>
          <w:szCs w:val="24"/>
        </w:rPr>
        <w:t>Mapping from bit(s) to line code(s) codewords.</w:t>
      </w:r>
    </w:p>
    <w:p w14:paraId="179B3BCE">
      <w:pPr>
        <w:pStyle w:val="33"/>
        <w:numPr>
          <w:ilvl w:val="0"/>
          <w:numId w:val="14"/>
        </w:numPr>
        <w:jc w:val="both"/>
        <w:rPr>
          <w:sz w:val="24"/>
          <w:szCs w:val="24"/>
        </w:rPr>
      </w:pPr>
      <w:r>
        <w:rPr>
          <w:sz w:val="24"/>
          <w:szCs w:val="24"/>
        </w:rPr>
        <w:t>Study must consider- spectrum shape, power consumption and complexity, BER and BLER, resilience to SFO, any relation to CFO.</w:t>
      </w:r>
    </w:p>
    <w:p w14:paraId="1D571007">
      <w:pPr>
        <w:jc w:val="both"/>
        <w:rPr>
          <w:sz w:val="24"/>
          <w:szCs w:val="24"/>
        </w:rPr>
      </w:pPr>
      <w:r>
        <w:rPr>
          <w:sz w:val="24"/>
          <w:szCs w:val="24"/>
        </w:rPr>
        <w:t>The features, benefits and limitations of Manchester encoding can be understood from the above table. Below table gives a comparison of Miller and FM0 encoding. The time domain transitions of the line codes are given in Fig 1. The spectral plots are given in Fig 2.</w:t>
      </w:r>
    </w:p>
    <w:p w14:paraId="282979E3">
      <w:pPr>
        <w:jc w:val="both"/>
      </w:pPr>
      <w:r>
        <w:drawing>
          <wp:inline distT="0" distB="0" distL="114300" distR="114300">
            <wp:extent cx="6257925" cy="5334000"/>
            <wp:effectExtent l="0" t="0" r="0" b="0"/>
            <wp:docPr id="1929192808" name="Picture 192919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9192808" name="Picture 1929192808"/>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6257925" cy="5334002"/>
                    </a:xfrm>
                    <a:prstGeom prst="rect">
                      <a:avLst/>
                    </a:prstGeom>
                  </pic:spPr>
                </pic:pic>
              </a:graphicData>
            </a:graphic>
          </wp:inline>
        </w:drawing>
      </w:r>
      <w:r>
        <w:t xml:space="preserve">         </w:t>
      </w:r>
    </w:p>
    <w:p w14:paraId="4EE1D3AA">
      <w:pPr>
        <w:jc w:val="both"/>
      </w:pPr>
      <w:r>
        <w:t xml:space="preserve">                                     Fig 1: Time domain plots of Miller, Manchester and FM0 code</w:t>
      </w:r>
    </w:p>
    <w:p w14:paraId="068B525B">
      <w:pPr>
        <w:jc w:val="both"/>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15"/>
        <w:gridCol w:w="4816"/>
      </w:tblGrid>
      <w:tr w14:paraId="23553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gridSpan w:val="2"/>
            <w:shd w:val="clear" w:color="auto" w:fill="auto"/>
          </w:tcPr>
          <w:p w14:paraId="3F66E28E">
            <w:pPr>
              <w:jc w:val="center"/>
              <w:rPr>
                <w:rFonts w:eastAsia="SimSun"/>
                <w:b/>
                <w:bCs/>
                <w:sz w:val="24"/>
                <w:szCs w:val="24"/>
              </w:rPr>
            </w:pPr>
            <w:r>
              <w:rPr>
                <w:rFonts w:eastAsia="SimSun"/>
                <w:b/>
                <w:bCs/>
                <w:sz w:val="24"/>
                <w:szCs w:val="24"/>
              </w:rPr>
              <w:t>Comparison of Miller and FM0 Encoding</w:t>
            </w:r>
          </w:p>
        </w:tc>
      </w:tr>
      <w:tr w14:paraId="34981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shd w:val="clear" w:color="auto" w:fill="auto"/>
          </w:tcPr>
          <w:p w14:paraId="1A5BD389">
            <w:pPr>
              <w:jc w:val="center"/>
              <w:rPr>
                <w:rFonts w:eastAsia="SimSun"/>
                <w:sz w:val="24"/>
                <w:szCs w:val="24"/>
              </w:rPr>
            </w:pPr>
            <w:r>
              <w:rPr>
                <w:rFonts w:eastAsia="SimSun"/>
                <w:sz w:val="24"/>
                <w:szCs w:val="24"/>
              </w:rPr>
              <w:t>Miller Encoding</w:t>
            </w:r>
          </w:p>
        </w:tc>
        <w:tc>
          <w:tcPr>
            <w:tcW w:w="4816" w:type="dxa"/>
            <w:shd w:val="clear" w:color="auto" w:fill="auto"/>
          </w:tcPr>
          <w:p w14:paraId="60B1B161">
            <w:pPr>
              <w:jc w:val="center"/>
              <w:rPr>
                <w:rFonts w:eastAsia="SimSun"/>
                <w:sz w:val="24"/>
                <w:szCs w:val="24"/>
              </w:rPr>
            </w:pPr>
            <w:r>
              <w:rPr>
                <w:rFonts w:eastAsia="SimSun"/>
                <w:sz w:val="24"/>
                <w:szCs w:val="24"/>
              </w:rPr>
              <w:t>FM0 Encoding</w:t>
            </w:r>
          </w:p>
        </w:tc>
      </w:tr>
      <w:tr w14:paraId="5137E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shd w:val="clear" w:color="auto" w:fill="auto"/>
          </w:tcPr>
          <w:p w14:paraId="201BC070">
            <w:pPr>
              <w:jc w:val="both"/>
              <w:rPr>
                <w:rFonts w:eastAsia="SimSun"/>
                <w:sz w:val="24"/>
                <w:szCs w:val="24"/>
              </w:rPr>
            </w:pPr>
            <w:r>
              <w:rPr>
                <w:rFonts w:eastAsia="SimSun"/>
                <w:sz w:val="24"/>
                <w:szCs w:val="24"/>
              </w:rPr>
              <w:t xml:space="preserve">Miller encoding is also known as delay encoding. It can be used for higher operating frequency, and it is </w:t>
            </w:r>
            <w:bookmarkStart w:id="2" w:name="_Int_dKgSyllH"/>
            <w:r>
              <w:rPr>
                <w:rFonts w:eastAsia="SimSun"/>
                <w:sz w:val="24"/>
                <w:szCs w:val="24"/>
              </w:rPr>
              <w:t>similar to</w:t>
            </w:r>
            <w:bookmarkEnd w:id="2"/>
            <w:r>
              <w:rPr>
                <w:rFonts w:eastAsia="SimSun"/>
                <w:sz w:val="24"/>
                <w:szCs w:val="24"/>
              </w:rPr>
              <w:t xml:space="preserve"> Manchester encoding except that the transition occurs in the middle of an interval when the bit is 1.</w:t>
            </w:r>
          </w:p>
        </w:tc>
        <w:tc>
          <w:tcPr>
            <w:tcW w:w="4816" w:type="dxa"/>
            <w:shd w:val="clear" w:color="auto" w:fill="auto"/>
          </w:tcPr>
          <w:p w14:paraId="1568781D">
            <w:pPr>
              <w:jc w:val="both"/>
              <w:rPr>
                <w:rFonts w:eastAsia="SimSun"/>
                <w:sz w:val="24"/>
                <w:szCs w:val="24"/>
              </w:rPr>
            </w:pPr>
            <w:r>
              <w:rPr>
                <w:rFonts w:eastAsia="SimSun"/>
                <w:sz w:val="24"/>
                <w:szCs w:val="24"/>
              </w:rPr>
              <w:t>FM0 is also known as Bi-phase space encoding. A transition is present on every bit and an additional transition may occur in the middle of the bit. Here the data rate is twice.</w:t>
            </w:r>
          </w:p>
        </w:tc>
      </w:tr>
      <w:tr w14:paraId="0A09D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shd w:val="clear" w:color="auto" w:fill="auto"/>
          </w:tcPr>
          <w:p w14:paraId="503F9B4C">
            <w:pPr>
              <w:jc w:val="both"/>
              <w:rPr>
                <w:rFonts w:eastAsia="SimSun"/>
                <w:sz w:val="24"/>
                <w:szCs w:val="24"/>
              </w:rPr>
            </w:pPr>
            <w:r>
              <w:rPr>
                <w:rFonts w:eastAsia="SimSun"/>
                <w:sz w:val="24"/>
                <w:szCs w:val="24"/>
              </w:rPr>
              <w:t>While using the Miller delay, noise interference can be reduced.</w:t>
            </w:r>
          </w:p>
        </w:tc>
        <w:tc>
          <w:tcPr>
            <w:tcW w:w="4816" w:type="dxa"/>
            <w:shd w:val="clear" w:color="auto" w:fill="auto"/>
          </w:tcPr>
          <w:p w14:paraId="16DAE516">
            <w:pPr>
              <w:jc w:val="both"/>
              <w:rPr>
                <w:rFonts w:eastAsia="SimSun"/>
                <w:sz w:val="24"/>
                <w:szCs w:val="24"/>
              </w:rPr>
            </w:pPr>
            <w:r>
              <w:rPr>
                <w:rFonts w:eastAsia="SimSun"/>
                <w:sz w:val="24"/>
                <w:szCs w:val="24"/>
              </w:rPr>
              <w:t>Sufficient clock information can be recovered from the data stream so that a separate clock is not needed. Therefore, for transmission, the number of wires is minimized.</w:t>
            </w:r>
          </w:p>
        </w:tc>
      </w:tr>
    </w:tbl>
    <w:p w14:paraId="72A3D3EC">
      <w:pPr>
        <w:rPr>
          <w:sz w:val="24"/>
          <w:szCs w:val="24"/>
        </w:rPr>
      </w:pPr>
    </w:p>
    <w:p w14:paraId="6026B563">
      <w:pPr>
        <w:jc w:val="both"/>
        <w:rPr>
          <w:b/>
          <w:bCs/>
          <w:i/>
          <w:iCs/>
          <w:sz w:val="24"/>
          <w:szCs w:val="24"/>
        </w:rPr>
      </w:pPr>
      <w:r>
        <w:rPr>
          <w:b/>
          <w:bCs/>
          <w:i/>
          <w:iCs/>
          <w:sz w:val="24"/>
          <w:szCs w:val="24"/>
        </w:rPr>
        <w:t>Observation 2 - Manchester codes have better data integrity or BER. They also have minimal DC component when compared to the Miller and FMO codes as observed from the power spectral density plot in Fig 2. Miller tends to have better noise performance, whereas FM0 has higher data-rate with self-clocking capability and minimized cost.</w:t>
      </w:r>
    </w:p>
    <w:p w14:paraId="656E4853">
      <w:pPr>
        <w:jc w:val="both"/>
        <w:rPr>
          <w:b/>
          <w:bCs/>
          <w:i/>
          <w:iCs/>
          <w:sz w:val="24"/>
          <w:szCs w:val="24"/>
        </w:rPr>
      </w:pPr>
    </w:p>
    <w:p w14:paraId="58E60283">
      <w:pPr>
        <w:jc w:val="both"/>
        <w:rPr>
          <w:b/>
          <w:bCs/>
          <w:i/>
          <w:iCs/>
          <w:sz w:val="24"/>
          <w:szCs w:val="24"/>
        </w:rPr>
      </w:pPr>
      <w:r>
        <w:rPr>
          <w:b/>
          <w:bCs/>
          <w:i/>
          <w:iCs/>
          <w:sz w:val="24"/>
          <w:szCs w:val="24"/>
        </w:rPr>
        <w:t>Proposal 2 – For A-IoT D2R line-coding, Manchester coding can be considered owing to its spectral efficiency, resilience to SFO, and its capability to support FDMA.</w:t>
      </w:r>
    </w:p>
    <w:p w14:paraId="553F0161">
      <w:pPr>
        <w:jc w:val="both"/>
      </w:pPr>
      <w:r>
        <w:t xml:space="preserve"> </w:t>
      </w:r>
    </w:p>
    <w:p w14:paraId="0D0B940D">
      <w:pPr>
        <w:jc w:val="both"/>
      </w:pPr>
      <w:r>
        <w:t xml:space="preserve">                                                  </w:t>
      </w:r>
    </w:p>
    <w:p w14:paraId="0999C535">
      <w:pPr>
        <w:jc w:val="both"/>
      </w:pPr>
      <w:r>
        <w:t xml:space="preserve">                   </w:t>
      </w:r>
      <w:r>
        <w:drawing>
          <wp:inline distT="0" distB="0" distL="114300" distR="114300">
            <wp:extent cx="4829175" cy="3876675"/>
            <wp:effectExtent l="0" t="0" r="0" b="0"/>
            <wp:docPr id="187354534" name="Picture 187354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354534" name="Picture 187354534"/>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4829175" cy="3876675"/>
                    </a:xfrm>
                    <a:prstGeom prst="rect">
                      <a:avLst/>
                    </a:prstGeom>
                  </pic:spPr>
                </pic:pic>
              </a:graphicData>
            </a:graphic>
          </wp:inline>
        </w:drawing>
      </w:r>
    </w:p>
    <w:p w14:paraId="4B0B79B2">
      <w:pPr>
        <w:jc w:val="both"/>
      </w:pPr>
    </w:p>
    <w:p w14:paraId="371F35B4">
      <w:pPr>
        <w:jc w:val="both"/>
      </w:pPr>
      <w:r>
        <w:t xml:space="preserve">                                            Fig 2: Spectrum plot of Miller, Manchester and FM0 code</w:t>
      </w:r>
    </w:p>
    <w:p w14:paraId="411CC24D">
      <w:pPr>
        <w:jc w:val="both"/>
      </w:pPr>
    </w:p>
    <w:p w14:paraId="29370DD1">
      <w:pPr>
        <w:jc w:val="both"/>
        <w:rPr>
          <w:b/>
          <w:bCs/>
          <w:sz w:val="24"/>
          <w:szCs w:val="24"/>
        </w:rPr>
      </w:pPr>
      <w:r>
        <w:rPr>
          <w:b/>
          <w:bCs/>
          <w:sz w:val="24"/>
          <w:szCs w:val="24"/>
        </w:rPr>
        <w:t xml:space="preserve">2.3 D2R Modulation – </w:t>
      </w:r>
      <w:r>
        <w:rPr>
          <w:b w:val="0"/>
          <w:bCs w:val="0"/>
          <w:sz w:val="24"/>
          <w:szCs w:val="24"/>
        </w:rPr>
        <w:t>The below points were agreed upon in RAN1#116-bis [2]:</w:t>
      </w:r>
    </w:p>
    <w:p w14:paraId="0D62E037">
      <w:pPr>
        <w:pStyle w:val="33"/>
        <w:numPr>
          <w:ilvl w:val="0"/>
          <w:numId w:val="15"/>
        </w:numPr>
        <w:jc w:val="both"/>
        <w:rPr>
          <w:sz w:val="24"/>
          <w:szCs w:val="24"/>
        </w:rPr>
      </w:pPr>
      <w:r>
        <w:rPr>
          <w:sz w:val="24"/>
          <w:szCs w:val="24"/>
        </w:rPr>
        <w:t>Study the following for D2R baseband modulation, for potential down-selection: OOK, BPSK, BFSK (only if OOK and BPSK not suited).</w:t>
      </w:r>
    </w:p>
    <w:p w14:paraId="6F9B11C9">
      <w:pPr>
        <w:pStyle w:val="33"/>
        <w:numPr>
          <w:ilvl w:val="0"/>
          <w:numId w:val="15"/>
        </w:numPr>
        <w:jc w:val="both"/>
        <w:rPr>
          <w:sz w:val="24"/>
          <w:szCs w:val="24"/>
        </w:rPr>
      </w:pPr>
      <w:r>
        <w:rPr>
          <w:sz w:val="24"/>
          <w:szCs w:val="24"/>
        </w:rPr>
        <w:t>Study must consider- exact baseband signal generation, spectral efficiency comparison, power consumption and complexity feasibility, impacts of phase discontinuity, demodulation methods at D2R receiver, decoding performance at reader, spectrum aliasing impact for BFSK.</w:t>
      </w:r>
    </w:p>
    <w:p w14:paraId="0E27B00A">
      <w:pPr>
        <w:jc w:val="both"/>
        <w:rPr>
          <w:rFonts w:ascii="Times New Roman" w:hAnsi="Times New Roman" w:eastAsia="Times New Roman" w:cs="Times New Roman"/>
          <w:sz w:val="24"/>
          <w:szCs w:val="24"/>
          <w:lang w:val="en-GB"/>
        </w:rPr>
      </w:pPr>
      <w:r>
        <w:rPr>
          <w:rFonts w:ascii="Times New Roman" w:hAnsi="Times New Roman" w:eastAsia="Times New Roman" w:cs="Times New Roman"/>
          <w:sz w:val="24"/>
          <w:szCs w:val="24"/>
          <w:lang w:val="en-GB"/>
        </w:rPr>
        <w:t>Here is a comparison of OOK, BPSK, and BFSK modulation based on the mentioned aspects.</w:t>
      </w:r>
    </w:p>
    <w:p w14:paraId="6487454A">
      <w:pPr>
        <w:jc w:val="both"/>
        <w:rPr>
          <w:rFonts w:ascii="Times New Roman" w:hAnsi="Times New Roman" w:eastAsia="Times New Roman" w:cs="Times New Roman"/>
          <w:sz w:val="24"/>
          <w:szCs w:val="24"/>
          <w:lang w:val="en-GB"/>
        </w:rPr>
      </w:pPr>
    </w:p>
    <w:p w14:paraId="0215FDD4">
      <w:pPr>
        <w:jc w:val="both"/>
        <w:rPr>
          <w:b/>
          <w:bCs/>
          <w:sz w:val="24"/>
          <w:szCs w:val="24"/>
        </w:rPr>
      </w:pPr>
      <w:r>
        <w:rPr>
          <w:b/>
          <w:bCs/>
          <w:sz w:val="24"/>
          <w:szCs w:val="24"/>
        </w:rPr>
        <w:t>Spectral Efficiency</w:t>
      </w:r>
    </w:p>
    <w:p w14:paraId="3E79CE4A">
      <w:pPr>
        <w:jc w:val="both"/>
        <w:rPr>
          <w:sz w:val="24"/>
          <w:szCs w:val="24"/>
        </w:rPr>
      </w:pPr>
      <w:r>
        <w:rPr>
          <w:sz w:val="24"/>
          <w:szCs w:val="24"/>
        </w:rPr>
        <w:t>OOK is more spectrally efficient than frequency-shift keying, but more sensitive to noise when using a regenerative receiver or a poorly implemented superheterodyne receiver. For a given data rate, the bandwidth of a BPSK (Binary Phase Shift keying) signal and the bandwidth of OOK signal are equal.</w:t>
      </w:r>
    </w:p>
    <w:p w14:paraId="067D3B9D">
      <w:pPr>
        <w:jc w:val="both"/>
        <w:rPr>
          <w:sz w:val="24"/>
          <w:szCs w:val="24"/>
        </w:rPr>
      </w:pPr>
    </w:p>
    <w:p w14:paraId="62CBF321">
      <w:pPr>
        <w:jc w:val="both"/>
        <w:rPr>
          <w:b/>
          <w:bCs/>
          <w:sz w:val="24"/>
          <w:szCs w:val="24"/>
        </w:rPr>
      </w:pPr>
      <w:r>
        <w:rPr>
          <w:b/>
          <w:bCs/>
          <w:sz w:val="24"/>
          <w:szCs w:val="24"/>
        </w:rPr>
        <w:t>Power Consumption</w:t>
      </w:r>
    </w:p>
    <w:p w14:paraId="48B1A8C6">
      <w:pPr>
        <w:jc w:val="both"/>
        <w:rPr>
          <w:sz w:val="24"/>
          <w:szCs w:val="24"/>
        </w:rPr>
      </w:pPr>
      <w:r>
        <w:rPr>
          <w:sz w:val="24"/>
          <w:szCs w:val="24"/>
        </w:rPr>
        <w:t xml:space="preserve">The power consumption of a modulation scheme depends on several factors, including the complexity of the modulation technique, the efficiency of the transmission system, and the specific implementation details. OOK modulation is relatively simple, as it only requires turning the carrier signal on and off to represent binary data. This is illustrated in Fig.3 for OOK-1 and Fig.4 for OOK-4. BPSK and BFSK may consume more power due to their increased complexity compared to OOK. </w:t>
      </w:r>
    </w:p>
    <w:p w14:paraId="18D6BD5E">
      <w:pPr>
        <w:rPr>
          <w:sz w:val="24"/>
          <w:szCs w:val="24"/>
        </w:rPr>
      </w:pPr>
    </w:p>
    <w:p w14:paraId="7F573FD0">
      <w:r>
        <w:t xml:space="preserve">                               </w:t>
      </w:r>
      <w:r>
        <w:drawing>
          <wp:inline distT="0" distB="0" distL="114300" distR="114300">
            <wp:extent cx="3848100" cy="3181350"/>
            <wp:effectExtent l="0" t="0" r="0" b="0"/>
            <wp:docPr id="485255122" name="Picture 485255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5255122" name="Picture 485255122"/>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3848102" cy="3181932"/>
                    </a:xfrm>
                    <a:prstGeom prst="rect">
                      <a:avLst/>
                    </a:prstGeom>
                  </pic:spPr>
                </pic:pic>
              </a:graphicData>
            </a:graphic>
          </wp:inline>
        </w:drawing>
      </w:r>
    </w:p>
    <w:p w14:paraId="60F4EA94"/>
    <w:p w14:paraId="3935EC45">
      <w:r>
        <w:t xml:space="preserve">                                                    Fig 3: Time domain plot of OOK-1 for 2 symbols</w:t>
      </w:r>
    </w:p>
    <w:p w14:paraId="3FA581DE"/>
    <w:p w14:paraId="25B56616">
      <w:r>
        <w:t xml:space="preserve">                               </w:t>
      </w:r>
      <w:r>
        <w:drawing>
          <wp:inline distT="0" distB="0" distL="114300" distR="114300">
            <wp:extent cx="4010025" cy="3323590"/>
            <wp:effectExtent l="0" t="0" r="0" b="0"/>
            <wp:docPr id="207104787" name="Picture 207104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104787" name="Picture 207104787"/>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4010026" cy="3323992"/>
                    </a:xfrm>
                    <a:prstGeom prst="rect">
                      <a:avLst/>
                    </a:prstGeom>
                  </pic:spPr>
                </pic:pic>
              </a:graphicData>
            </a:graphic>
          </wp:inline>
        </w:drawing>
      </w:r>
    </w:p>
    <w:p w14:paraId="647E9076"/>
    <w:p w14:paraId="3FFFDC3D"/>
    <w:p w14:paraId="70CC8909">
      <w:r>
        <w:t xml:space="preserve">       Fig 4. Time domain plot of OOK-4 for 2 symbols (6 chips per symbol, each symbol represents the bit pattern 101001)</w:t>
      </w:r>
    </w:p>
    <w:p w14:paraId="55DB29AA">
      <w:r>
        <w:t xml:space="preserve">                                  Each symbol is represented by 128 samples of data and 8 samples of CP </w:t>
      </w:r>
    </w:p>
    <w:p w14:paraId="52DB5FFC"/>
    <w:p w14:paraId="393FD833">
      <w:pPr>
        <w:rPr>
          <w:b/>
          <w:bCs/>
          <w:sz w:val="24"/>
          <w:szCs w:val="24"/>
        </w:rPr>
      </w:pPr>
      <w:r>
        <w:rPr>
          <w:b/>
          <w:bCs/>
          <w:sz w:val="24"/>
          <w:szCs w:val="24"/>
        </w:rPr>
        <w:t>Phase Discontinuity</w:t>
      </w:r>
    </w:p>
    <w:p w14:paraId="4B60FB47">
      <w:pPr>
        <w:jc w:val="both"/>
        <w:rPr>
          <w:rFonts w:ascii="SimSun" w:hAnsi="SimSun" w:cs="SimSun"/>
          <w:sz w:val="24"/>
          <w:szCs w:val="24"/>
        </w:rPr>
      </w:pPr>
      <w:r>
        <w:rPr>
          <w:sz w:val="24"/>
          <w:szCs w:val="24"/>
        </w:rPr>
        <w:t>Each transition between the on and off states in OOK introduces a phase shift, resulting in phase discontinuities. Likewise, in BPSK, the carrier instantaneously jumps whenever the message bit of the current symbol differs from the message bit of the previous symbol.</w:t>
      </w:r>
      <w:r>
        <w:rPr>
          <w:rFonts w:ascii="SimSun" w:hAnsi="SimSun" w:cs="SimSun"/>
          <w:sz w:val="24"/>
          <w:szCs w:val="24"/>
        </w:rPr>
        <w:t xml:space="preserve"> </w:t>
      </w:r>
      <w:r>
        <w:rPr>
          <w:sz w:val="24"/>
          <w:szCs w:val="24"/>
        </w:rPr>
        <w:t xml:space="preserve">BFSK modulation does not inherently maintain phase continuity because it modulates the frequency of the carrier signal to represent binary data. However, it is possible to configure BFSK in such a way that phase continuity is maintained across the entire input. Continuous-phase frequency shift keying (CPFSK) is a type of frequency shift keying (FSK) that maintains phase continuity from symbol to symbol. </w:t>
      </w:r>
    </w:p>
    <w:p w14:paraId="351D1624">
      <w:pPr>
        <w:jc w:val="both"/>
        <w:rPr>
          <w:sz w:val="24"/>
          <w:szCs w:val="24"/>
        </w:rPr>
      </w:pPr>
    </w:p>
    <w:p w14:paraId="43BB8A63">
      <w:pPr>
        <w:jc w:val="both"/>
        <w:rPr>
          <w:b/>
          <w:bCs/>
          <w:sz w:val="24"/>
          <w:szCs w:val="24"/>
        </w:rPr>
      </w:pPr>
      <w:r>
        <w:rPr>
          <w:b/>
          <w:bCs/>
          <w:sz w:val="24"/>
          <w:szCs w:val="24"/>
        </w:rPr>
        <w:t>Demodulation</w:t>
      </w:r>
    </w:p>
    <w:p w14:paraId="0D553545">
      <w:pPr>
        <w:jc w:val="both"/>
        <w:rPr>
          <w:sz w:val="24"/>
          <w:szCs w:val="24"/>
        </w:rPr>
      </w:pPr>
      <w:r>
        <w:rPr>
          <w:sz w:val="24"/>
          <w:szCs w:val="24"/>
        </w:rPr>
        <w:t>The simplest demodulation technique for OOK involves using a threshold detector. The received signal is compared against a predetermined threshold. If the received signal's amplitude is above the threshold, it is interpreted as a '1' bit; otherwise, it is interpreted as a '0' bit. Another demodulation method for OOK involves envelope detection, where the amplitude variations of the received signal are extracted to recover the original data. OOK demodulation is straightforward and suitable for low-complexity systems.</w:t>
      </w:r>
    </w:p>
    <w:p w14:paraId="71892DF9">
      <w:pPr>
        <w:jc w:val="both"/>
        <w:rPr>
          <w:sz w:val="24"/>
          <w:szCs w:val="24"/>
        </w:rPr>
      </w:pPr>
      <w:r>
        <w:rPr>
          <w:sz w:val="24"/>
          <w:szCs w:val="24"/>
        </w:rPr>
        <w:t>Coherent demodulation is commonly used for BPSK, where the receiver must maintain phase coherence with the transmitter. This typically involves recovering a phase reference from the received signal (e.g., using a local oscillator) and comparing it with the received signal to determine the phase shift. Non-coherent demodulation techniques, such as differential BPSK (DBPSK), are also used. DBPSK compares the phase difference between adjacent symbols to determine the transmitted bits, eliminating the need for phase synchronization.</w:t>
      </w:r>
    </w:p>
    <w:p w14:paraId="278ECF5C">
      <w:pPr>
        <w:jc w:val="both"/>
        <w:rPr>
          <w:sz w:val="24"/>
          <w:szCs w:val="24"/>
        </w:rPr>
      </w:pPr>
      <w:r>
        <w:rPr>
          <w:sz w:val="24"/>
          <w:szCs w:val="24"/>
        </w:rPr>
        <w:t>Coherent demodulation in CPFSK involves recovering a frequency reference from the received signal and comparing it with the received signal to detect frequency shifts. Non-coherent demodulation techniques, such as frequency discrimination, can also be used for BFSK.</w:t>
      </w:r>
    </w:p>
    <w:p w14:paraId="0F5214A6">
      <w:pPr>
        <w:jc w:val="both"/>
        <w:rPr>
          <w:sz w:val="24"/>
          <w:szCs w:val="24"/>
        </w:rPr>
      </w:pPr>
    </w:p>
    <w:p w14:paraId="3ECCDF15">
      <w:pPr>
        <w:jc w:val="both"/>
      </w:pPr>
      <w:r>
        <w:t xml:space="preserve">                               </w:t>
      </w:r>
      <w:r>
        <w:drawing>
          <wp:inline distT="0" distB="0" distL="114300" distR="114300">
            <wp:extent cx="3885565" cy="3124200"/>
            <wp:effectExtent l="0" t="0" r="0" b="0"/>
            <wp:docPr id="653662244" name="Picture 653662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3662244" name="Picture 653662244"/>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3886011" cy="3124200"/>
                    </a:xfrm>
                    <a:prstGeom prst="rect">
                      <a:avLst/>
                    </a:prstGeom>
                  </pic:spPr>
                </pic:pic>
              </a:graphicData>
            </a:graphic>
          </wp:inline>
        </w:drawing>
      </w:r>
    </w:p>
    <w:p w14:paraId="7307E362">
      <w:pPr>
        <w:jc w:val="both"/>
      </w:pPr>
      <w:r>
        <w:t xml:space="preserve">     </w:t>
      </w:r>
    </w:p>
    <w:p w14:paraId="24F2072E">
      <w:pPr>
        <w:jc w:val="both"/>
      </w:pPr>
      <w:r>
        <w:t xml:space="preserve">                                           Fig 5. SNR vs BER curve for OOK-1 vs BPSK in AWGN</w:t>
      </w:r>
    </w:p>
    <w:p w14:paraId="723C5918">
      <w:pPr>
        <w:rPr>
          <w:sz w:val="24"/>
          <w:szCs w:val="24"/>
        </w:rPr>
      </w:pPr>
    </w:p>
    <w:p w14:paraId="565A0639">
      <w:pPr>
        <w:suppressLineNumbers w:val="0"/>
        <w:bidi w:val="0"/>
        <w:spacing w:before="0" w:beforeAutospacing="0" w:after="0" w:afterAutospacing="0" w:line="259" w:lineRule="auto"/>
        <w:ind w:left="0" w:right="0"/>
        <w:jc w:val="left"/>
        <w:rPr>
          <w:b/>
          <w:bCs/>
          <w:sz w:val="24"/>
          <w:szCs w:val="24"/>
        </w:rPr>
      </w:pPr>
      <w:r>
        <w:rPr>
          <w:b/>
          <w:bCs/>
          <w:sz w:val="24"/>
          <w:szCs w:val="24"/>
        </w:rPr>
        <w:t>Decoding Performance</w:t>
      </w:r>
    </w:p>
    <w:p w14:paraId="4113EC0A">
      <w:pPr>
        <w:jc w:val="both"/>
        <w:rPr>
          <w:sz w:val="24"/>
          <w:szCs w:val="24"/>
        </w:rPr>
      </w:pPr>
      <w:r>
        <w:rPr>
          <w:sz w:val="24"/>
          <w:szCs w:val="24"/>
        </w:rPr>
        <w:t>The BER (Bit Error Rate) performance of BFSK and OOK is worse compared to BPSK modulation. The SNR vs BER curve of OOK-1 vs BPSK is given in Fig 5. It is observed that BPSK has a 3 dB better performance when compared to OOK-1 at 1e-4 BER. The performance curve of the OOK-1 signal in the presence of fading channel and AWGN has been captured in Fig 6. The simulation assumptions for the plots are given in appendix.</w:t>
      </w:r>
      <w:r>
        <w:t xml:space="preserve">              </w:t>
      </w:r>
    </w:p>
    <w:p w14:paraId="6E05A3B4"/>
    <w:p w14:paraId="5AEE462A">
      <w:r>
        <w:t xml:space="preserve">                                                        </w:t>
      </w:r>
    </w:p>
    <w:p w14:paraId="319BC782">
      <w:r>
        <w:t xml:space="preserve">                          </w:t>
      </w:r>
    </w:p>
    <w:p w14:paraId="4AC46E3E">
      <w:pPr>
        <w:rPr>
          <w:sz w:val="24"/>
          <w:szCs w:val="24"/>
        </w:rPr>
      </w:pPr>
    </w:p>
    <w:p w14:paraId="2942DE38">
      <w:r>
        <w:t xml:space="preserve">                             </w:t>
      </w:r>
    </w:p>
    <w:p w14:paraId="3E6D07FA"/>
    <w:p w14:paraId="5A845A6A">
      <w:r>
        <w:t xml:space="preserve">                                                </w:t>
      </w:r>
    </w:p>
    <w:p w14:paraId="5E260CF0">
      <w:pPr>
        <w:suppressLineNumbers w:val="0"/>
        <w:bidi w:val="0"/>
        <w:spacing w:before="0" w:beforeAutospacing="0" w:after="0" w:afterAutospacing="0" w:line="259" w:lineRule="auto"/>
        <w:ind w:left="0" w:right="0"/>
        <w:jc w:val="left"/>
      </w:pPr>
      <w:r>
        <w:t xml:space="preserve">                                  </w:t>
      </w:r>
      <w:r>
        <w:drawing>
          <wp:inline distT="0" distB="0" distL="114300" distR="114300">
            <wp:extent cx="3981450" cy="3143250"/>
            <wp:effectExtent l="0" t="0" r="0" b="0"/>
            <wp:docPr id="1640751464" name="Picture 1640751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0751464" name="Picture 1640751464"/>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3981450" cy="3143250"/>
                    </a:xfrm>
                    <a:prstGeom prst="rect">
                      <a:avLst/>
                    </a:prstGeom>
                  </pic:spPr>
                </pic:pic>
              </a:graphicData>
            </a:graphic>
          </wp:inline>
        </w:drawing>
      </w:r>
    </w:p>
    <w:p w14:paraId="16E3C373">
      <w:pPr>
        <w:suppressLineNumbers w:val="0"/>
        <w:bidi w:val="0"/>
        <w:spacing w:before="0" w:beforeAutospacing="0" w:after="0" w:afterAutospacing="0" w:line="259" w:lineRule="auto"/>
        <w:ind w:left="0" w:right="0"/>
        <w:jc w:val="left"/>
      </w:pPr>
    </w:p>
    <w:p w14:paraId="0A025237">
      <w:pPr>
        <w:suppressLineNumbers w:val="0"/>
        <w:bidi w:val="0"/>
        <w:spacing w:before="0" w:beforeAutospacing="0" w:after="0" w:afterAutospacing="0" w:line="259" w:lineRule="auto"/>
        <w:ind w:left="0" w:right="0"/>
        <w:jc w:val="left"/>
      </w:pPr>
      <w:r>
        <w:t xml:space="preserve">                                  Fig 6. Performance Comparison of OOK-1 in AWGN and TDL A Channel</w:t>
      </w:r>
    </w:p>
    <w:p w14:paraId="552720FF"/>
    <w:p w14:paraId="60061E4C">
      <w:pPr>
        <w:rPr>
          <w:b/>
          <w:bCs/>
          <w:i/>
          <w:iCs/>
          <w:sz w:val="24"/>
          <w:szCs w:val="24"/>
        </w:rPr>
      </w:pPr>
    </w:p>
    <w:p w14:paraId="44EAFD9C">
      <w:pPr>
        <w:jc w:val="both"/>
        <w:rPr>
          <w:b/>
          <w:bCs/>
          <w:i/>
          <w:iCs/>
          <w:sz w:val="24"/>
          <w:szCs w:val="24"/>
        </w:rPr>
      </w:pPr>
      <w:r>
        <w:rPr>
          <w:b/>
          <w:bCs/>
          <w:i/>
          <w:iCs/>
          <w:sz w:val="24"/>
          <w:szCs w:val="24"/>
        </w:rPr>
        <w:t>Observation 3 -BPSK offers superior decoding performance. However, there are several advantages for on-off keying which include low power consumption, simple demodulation techniques, and spectral efficiency.</w:t>
      </w:r>
    </w:p>
    <w:p w14:paraId="4ED7C578">
      <w:pPr>
        <w:jc w:val="both"/>
        <w:rPr>
          <w:b/>
          <w:bCs/>
          <w:i/>
          <w:iCs/>
          <w:sz w:val="24"/>
          <w:szCs w:val="24"/>
        </w:rPr>
      </w:pPr>
    </w:p>
    <w:p w14:paraId="3DEEC669">
      <w:pPr>
        <w:jc w:val="both"/>
        <w:rPr>
          <w:b/>
          <w:bCs/>
          <w:i/>
          <w:iCs/>
          <w:sz w:val="24"/>
          <w:szCs w:val="24"/>
        </w:rPr>
      </w:pPr>
      <w:r>
        <w:rPr>
          <w:b/>
          <w:bCs/>
          <w:i/>
          <w:iCs/>
          <w:sz w:val="24"/>
          <w:szCs w:val="24"/>
        </w:rPr>
        <w:t>Proposal 3 - For the D2R transmission, OOK modulation scheme can be supported.</w:t>
      </w:r>
    </w:p>
    <w:p w14:paraId="09D3C08D">
      <w:pPr>
        <w:jc w:val="both"/>
        <w:rPr>
          <w:b/>
          <w:bCs/>
          <w:i/>
          <w:iCs/>
          <w:sz w:val="24"/>
          <w:szCs w:val="24"/>
        </w:rPr>
      </w:pPr>
    </w:p>
    <w:p w14:paraId="6821D0FD">
      <w:pPr>
        <w:jc w:val="both"/>
        <w:rPr>
          <w:b/>
          <w:bCs/>
          <w:sz w:val="24"/>
          <w:szCs w:val="24"/>
        </w:rPr>
      </w:pPr>
      <w:r>
        <w:rPr>
          <w:b/>
          <w:bCs/>
          <w:sz w:val="24"/>
          <w:szCs w:val="24"/>
        </w:rPr>
        <w:t xml:space="preserve">2.4 D2R Modulation </w:t>
      </w:r>
      <w:r>
        <w:rPr>
          <w:b w:val="0"/>
          <w:bCs w:val="0"/>
          <w:sz w:val="24"/>
          <w:szCs w:val="24"/>
        </w:rPr>
        <w:t>The below point was agreed upon in RAN1#118 for FFS [1]:</w:t>
      </w:r>
    </w:p>
    <w:p w14:paraId="510500D0">
      <w:pPr>
        <w:spacing w:before="0" w:beforeAutospacing="0" w:after="0" w:afterAutospacing="0"/>
        <w:ind w:left="0" w:firstLine="0"/>
        <w:jc w:val="both"/>
        <w:rPr>
          <w:rFonts w:ascii="Times New Roman" w:hAnsi="Times New Roman" w:eastAsia="Times New Roman" w:cs="Times New Roman"/>
          <w:b w:val="0"/>
          <w:bCs w:val="0"/>
          <w:sz w:val="24"/>
          <w:szCs w:val="24"/>
          <w:lang w:val="en-GB"/>
        </w:rPr>
      </w:pPr>
      <w:r>
        <w:rPr>
          <w:rFonts w:ascii="Times New Roman" w:hAnsi="Times New Roman" w:eastAsia="Times New Roman" w:cs="Times New Roman"/>
          <w:b w:val="0"/>
          <w:bCs w:val="0"/>
          <w:sz w:val="24"/>
          <w:szCs w:val="24"/>
          <w:lang w:val="en-GB"/>
        </w:rPr>
        <w:t>The variant of Binary FSK to study further for all devices is identified as MSK (and not GMSK)</w:t>
      </w:r>
    </w:p>
    <w:p w14:paraId="15A105A2">
      <w:pPr>
        <w:pStyle w:val="33"/>
        <w:numPr>
          <w:ilvl w:val="1"/>
          <w:numId w:val="10"/>
        </w:numPr>
        <w:spacing w:before="0" w:beforeAutospacing="0" w:after="0" w:afterAutospacing="0"/>
        <w:ind w:left="1440" w:hanging="360"/>
        <w:jc w:val="both"/>
        <w:rPr>
          <w:rFonts w:ascii="Times New Roman" w:hAnsi="Times New Roman" w:eastAsia="Times New Roman" w:cs="Times New Roman"/>
          <w:sz w:val="24"/>
          <w:szCs w:val="24"/>
        </w:rPr>
      </w:pPr>
      <w:r>
        <w:rPr>
          <w:rFonts w:ascii="Times New Roman" w:hAnsi="Times New Roman" w:eastAsia="Times New Roman" w:cs="Times New Roman"/>
          <w:b w:val="0"/>
          <w:bCs w:val="0"/>
          <w:sz w:val="24"/>
          <w:szCs w:val="24"/>
          <w:lang w:val="en-GB"/>
        </w:rPr>
        <w:t>FFS: whether MSK is feasible for all devices</w:t>
      </w:r>
    </w:p>
    <w:p w14:paraId="4102C2F2">
      <w:pPr>
        <w:jc w:val="both"/>
        <w:rPr>
          <w:b/>
          <w:bCs/>
          <w:i/>
          <w:iCs/>
          <w:sz w:val="24"/>
          <w:szCs w:val="24"/>
        </w:rPr>
      </w:pPr>
    </w:p>
    <w:p w14:paraId="74B10A11">
      <w:pPr>
        <w:jc w:val="both"/>
        <w:rPr>
          <w:b w:val="0"/>
          <w:bCs w:val="0"/>
          <w:i w:val="0"/>
          <w:iCs w:val="0"/>
          <w:sz w:val="24"/>
          <w:szCs w:val="24"/>
        </w:rPr>
      </w:pPr>
      <w:r>
        <w:rPr>
          <w:b w:val="0"/>
          <w:bCs w:val="0"/>
          <w:i w:val="0"/>
          <w:iCs w:val="0"/>
          <w:sz w:val="24"/>
          <w:szCs w:val="24"/>
        </w:rPr>
        <w:t>Below table gives the comparison of FSK and MSK in terms of spectral efficiency, BER performance and implementation complexity.</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85"/>
        <w:gridCol w:w="3870"/>
        <w:gridCol w:w="4200"/>
      </w:tblGrid>
      <w:tr w14:paraId="32524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9855" w:type="dxa"/>
            <w:gridSpan w:val="3"/>
            <w:shd w:val="clear" w:color="auto" w:fill="auto"/>
          </w:tcPr>
          <w:p w14:paraId="187AFF7B">
            <w:pPr>
              <w:jc w:val="center"/>
              <w:rPr>
                <w:rFonts w:eastAsia="SimSun"/>
                <w:b/>
                <w:bCs/>
                <w:sz w:val="24"/>
                <w:szCs w:val="24"/>
              </w:rPr>
            </w:pPr>
            <w:r>
              <w:rPr>
                <w:rFonts w:eastAsia="SimSun"/>
                <w:b/>
                <w:bCs/>
                <w:sz w:val="24"/>
                <w:szCs w:val="24"/>
              </w:rPr>
              <w:t>Comparison of FSK and MSK</w:t>
            </w:r>
          </w:p>
        </w:tc>
      </w:tr>
      <w:tr w14:paraId="3B46B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785" w:type="dxa"/>
            <w:shd w:val="clear" w:color="auto" w:fill="auto"/>
          </w:tcPr>
          <w:p w14:paraId="54C2778C">
            <w:pPr>
              <w:jc w:val="center"/>
              <w:rPr>
                <w:rFonts w:eastAsia="SimSun"/>
                <w:sz w:val="24"/>
                <w:szCs w:val="24"/>
              </w:rPr>
            </w:pPr>
            <w:r>
              <w:rPr>
                <w:rFonts w:eastAsia="SimSun"/>
                <w:sz w:val="24"/>
                <w:szCs w:val="24"/>
              </w:rPr>
              <w:t>Characteristic</w:t>
            </w:r>
          </w:p>
        </w:tc>
        <w:tc>
          <w:tcPr>
            <w:tcW w:w="3870" w:type="dxa"/>
            <w:shd w:val="clear" w:color="auto" w:fill="auto"/>
          </w:tcPr>
          <w:p w14:paraId="3050C2AC">
            <w:pPr>
              <w:jc w:val="center"/>
              <w:rPr>
                <w:rFonts w:eastAsia="SimSun"/>
                <w:sz w:val="24"/>
                <w:szCs w:val="24"/>
              </w:rPr>
            </w:pPr>
            <w:r>
              <w:rPr>
                <w:rFonts w:eastAsia="SimSun"/>
                <w:sz w:val="24"/>
                <w:szCs w:val="24"/>
              </w:rPr>
              <w:t>FSK</w:t>
            </w:r>
          </w:p>
        </w:tc>
        <w:tc>
          <w:tcPr>
            <w:tcW w:w="4200" w:type="dxa"/>
            <w:shd w:val="clear" w:color="auto" w:fill="auto"/>
          </w:tcPr>
          <w:p w14:paraId="468D2FF4">
            <w:pPr>
              <w:jc w:val="center"/>
              <w:rPr>
                <w:rFonts w:eastAsia="SimSun"/>
                <w:sz w:val="24"/>
                <w:szCs w:val="24"/>
              </w:rPr>
            </w:pPr>
            <w:r>
              <w:rPr>
                <w:rFonts w:eastAsia="SimSun"/>
                <w:sz w:val="24"/>
                <w:szCs w:val="24"/>
              </w:rPr>
              <w:t xml:space="preserve">MSK </w:t>
            </w:r>
          </w:p>
        </w:tc>
      </w:tr>
      <w:tr w14:paraId="5A0A5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785" w:type="dxa"/>
            <w:shd w:val="clear" w:color="auto" w:fill="auto"/>
          </w:tcPr>
          <w:p w14:paraId="25F109CC">
            <w:pPr>
              <w:jc w:val="both"/>
              <w:rPr>
                <w:rFonts w:eastAsia="SimSun"/>
                <w:sz w:val="24"/>
                <w:szCs w:val="24"/>
              </w:rPr>
            </w:pPr>
            <w:r>
              <w:rPr>
                <w:rFonts w:eastAsia="SimSun"/>
                <w:sz w:val="24"/>
                <w:szCs w:val="24"/>
              </w:rPr>
              <w:t>Spectral Efficiency</w:t>
            </w:r>
          </w:p>
        </w:tc>
        <w:tc>
          <w:tcPr>
            <w:tcW w:w="3870" w:type="dxa"/>
            <w:shd w:val="clear" w:color="auto" w:fill="auto"/>
          </w:tcPr>
          <w:p w14:paraId="67E2357F">
            <w:pPr>
              <w:jc w:val="both"/>
            </w:pPr>
            <w:r>
              <w:rPr>
                <w:rFonts w:ascii="Times New Roman" w:hAnsi="Times New Roman" w:eastAsia="Times New Roman" w:cs="Times New Roman"/>
                <w:sz w:val="24"/>
                <w:szCs w:val="24"/>
                <w:lang w:val="en-GB"/>
              </w:rPr>
              <w:t>FSK is less bandwidth-efficient compared to MSK. This means that for a given bit rate, FSK may require more bandwidth, which could affect the overall design and complexity of the communication system.</w:t>
            </w:r>
          </w:p>
        </w:tc>
        <w:tc>
          <w:tcPr>
            <w:tcW w:w="4200" w:type="dxa"/>
            <w:shd w:val="clear" w:color="auto" w:fill="auto"/>
          </w:tcPr>
          <w:p w14:paraId="3D76AF7C">
            <w:pPr>
              <w:jc w:val="both"/>
              <w:rPr>
                <w:rFonts w:eastAsia="SimSun"/>
                <w:sz w:val="24"/>
                <w:szCs w:val="24"/>
              </w:rPr>
            </w:pPr>
            <w:r>
              <w:rPr>
                <w:rFonts w:eastAsia="SimSun"/>
                <w:sz w:val="24"/>
                <w:szCs w:val="24"/>
              </w:rPr>
              <w:t>MSK is a type of continuous-phase frequency shift keying, which allows it to use bandwidth more efficiently than conventional FSK. Its continuous phase transitions reduce spectral side lobes.</w:t>
            </w:r>
          </w:p>
          <w:p w14:paraId="2155FD1D">
            <w:pPr>
              <w:jc w:val="both"/>
              <w:rPr>
                <w:rFonts w:eastAsia="SimSun"/>
                <w:sz w:val="24"/>
                <w:szCs w:val="24"/>
              </w:rPr>
            </w:pPr>
          </w:p>
        </w:tc>
      </w:tr>
      <w:tr w14:paraId="43880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1785" w:type="dxa"/>
            <w:shd w:val="clear" w:color="auto" w:fill="auto"/>
          </w:tcPr>
          <w:p w14:paraId="37CAD1F5">
            <w:pPr>
              <w:jc w:val="both"/>
              <w:rPr>
                <w:rFonts w:eastAsia="SimSun"/>
                <w:sz w:val="24"/>
                <w:szCs w:val="24"/>
              </w:rPr>
            </w:pPr>
            <w:r>
              <w:rPr>
                <w:rFonts w:eastAsia="SimSun"/>
                <w:sz w:val="24"/>
                <w:szCs w:val="24"/>
              </w:rPr>
              <w:t>BER performance</w:t>
            </w:r>
          </w:p>
        </w:tc>
        <w:tc>
          <w:tcPr>
            <w:tcW w:w="3870" w:type="dxa"/>
            <w:shd w:val="clear" w:color="auto" w:fill="auto"/>
          </w:tcPr>
          <w:p w14:paraId="6108D59B">
            <w:pPr>
              <w:jc w:val="both"/>
              <w:rPr>
                <w:rFonts w:eastAsia="SimSun"/>
                <w:sz w:val="24"/>
                <w:szCs w:val="24"/>
              </w:rPr>
            </w:pPr>
            <w:r>
              <w:rPr>
                <w:rFonts w:eastAsia="SimSun"/>
                <w:sz w:val="24"/>
                <w:szCs w:val="24"/>
              </w:rPr>
              <w:t xml:space="preserve">The BER performance of FSK is more degraded when compared to MSK. </w:t>
            </w:r>
          </w:p>
        </w:tc>
        <w:tc>
          <w:tcPr>
            <w:tcW w:w="4200" w:type="dxa"/>
            <w:shd w:val="clear" w:color="auto" w:fill="auto"/>
          </w:tcPr>
          <w:p w14:paraId="3DFEF8E1">
            <w:pPr>
              <w:jc w:val="both"/>
              <w:rPr>
                <w:rFonts w:eastAsia="SimSun"/>
                <w:sz w:val="24"/>
                <w:szCs w:val="24"/>
              </w:rPr>
            </w:pPr>
            <w:r>
              <w:rPr>
                <w:rFonts w:eastAsia="SimSun"/>
                <w:sz w:val="24"/>
                <w:szCs w:val="24"/>
              </w:rPr>
              <w:t>Generally, MSK offers better BER performance at lower SNRs because of its continuous phase modulation, which helps to reduce errors due to noise.</w:t>
            </w:r>
          </w:p>
        </w:tc>
      </w:tr>
      <w:tr w14:paraId="3836E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785" w:type="dxa"/>
            <w:shd w:val="clear" w:color="auto" w:fill="auto"/>
          </w:tcPr>
          <w:p w14:paraId="0B4787B3">
            <w:pPr>
              <w:jc w:val="both"/>
              <w:rPr>
                <w:rFonts w:eastAsia="SimSun"/>
                <w:sz w:val="24"/>
                <w:szCs w:val="24"/>
              </w:rPr>
            </w:pPr>
            <w:r>
              <w:rPr>
                <w:rFonts w:eastAsia="SimSun"/>
                <w:sz w:val="24"/>
                <w:szCs w:val="24"/>
              </w:rPr>
              <w:t>Implementation complexity</w:t>
            </w:r>
          </w:p>
        </w:tc>
        <w:tc>
          <w:tcPr>
            <w:tcW w:w="3870" w:type="dxa"/>
            <w:shd w:val="clear" w:color="auto" w:fill="auto"/>
          </w:tcPr>
          <w:p w14:paraId="2532B3D7">
            <w:pPr>
              <w:jc w:val="both"/>
            </w:pPr>
            <w:r>
              <w:rPr>
                <w:rFonts w:ascii="Times New Roman" w:hAnsi="Times New Roman" w:eastAsia="Times New Roman" w:cs="Times New Roman"/>
                <w:sz w:val="24"/>
                <w:szCs w:val="24"/>
                <w:lang w:val="en-GB"/>
              </w:rPr>
              <w:t>The hardware for FSK can be simpler when compared to MSK, which might only require oscillators and switches.</w:t>
            </w:r>
          </w:p>
          <w:p w14:paraId="0BB92EBF">
            <w:pPr>
              <w:jc w:val="both"/>
              <w:rPr>
                <w:rFonts w:ascii="Times New Roman" w:hAnsi="Times New Roman" w:eastAsia="Times New Roman" w:cs="Times New Roman"/>
                <w:sz w:val="24"/>
                <w:szCs w:val="24"/>
                <w:lang w:val="en-GB"/>
              </w:rPr>
            </w:pPr>
          </w:p>
        </w:tc>
        <w:tc>
          <w:tcPr>
            <w:tcW w:w="4200" w:type="dxa"/>
            <w:shd w:val="clear" w:color="auto" w:fill="auto"/>
          </w:tcPr>
          <w:p w14:paraId="447A3FA2">
            <w:pPr>
              <w:jc w:val="both"/>
              <w:rPr>
                <w:rFonts w:eastAsia="SimSun"/>
                <w:sz w:val="24"/>
                <w:szCs w:val="24"/>
              </w:rPr>
            </w:pPr>
            <w:r>
              <w:rPr>
                <w:rFonts w:eastAsia="SimSun"/>
                <w:sz w:val="24"/>
                <w:szCs w:val="24"/>
              </w:rPr>
              <w:t>Implementing MSK can be more complex than FSK due to the need for continuous-phase modulation and demodulation techniques.</w:t>
            </w:r>
          </w:p>
        </w:tc>
      </w:tr>
    </w:tbl>
    <w:p w14:paraId="790E46CD"/>
    <w:p w14:paraId="32B28BCF">
      <w:pPr>
        <w:jc w:val="both"/>
        <w:rPr>
          <w:rFonts w:ascii="Times New Roman" w:hAnsi="Times New Roman" w:eastAsia="Times New Roman" w:cs="Times New Roman"/>
          <w:sz w:val="24"/>
          <w:szCs w:val="24"/>
          <w:lang w:val="en-GB"/>
        </w:rPr>
      </w:pPr>
      <w:r>
        <w:rPr>
          <w:rFonts w:ascii="Times New Roman" w:hAnsi="Times New Roman" w:eastAsia="Times New Roman" w:cs="Times New Roman"/>
          <w:sz w:val="24"/>
          <w:szCs w:val="24"/>
          <w:lang w:val="en-GB"/>
        </w:rPr>
        <w:t xml:space="preserve">                       </w:t>
      </w:r>
      <w:r>
        <w:drawing>
          <wp:inline distT="0" distB="0" distL="114300" distR="114300">
            <wp:extent cx="3937635" cy="3067050"/>
            <wp:effectExtent l="0" t="0" r="0" b="0"/>
            <wp:docPr id="1201381048" name="Picture 120138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1381048" name="Picture 1201381048"/>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3937844" cy="3067050"/>
                    </a:xfrm>
                    <a:prstGeom prst="rect">
                      <a:avLst/>
                    </a:prstGeom>
                  </pic:spPr>
                </pic:pic>
              </a:graphicData>
            </a:graphic>
          </wp:inline>
        </w:drawing>
      </w:r>
    </w:p>
    <w:p w14:paraId="3D14A799">
      <w:pPr>
        <w:jc w:val="both"/>
      </w:pPr>
      <w:r>
        <w:t xml:space="preserve">                                           Fig 7. SNR vs BER curve for FSK vs MSK in AWGN</w:t>
      </w:r>
    </w:p>
    <w:p w14:paraId="465DF364">
      <w:pPr>
        <w:jc w:val="both"/>
        <w:rPr>
          <w:rFonts w:ascii="Times New Roman" w:hAnsi="Times New Roman" w:eastAsia="Times New Roman" w:cs="Times New Roman"/>
          <w:sz w:val="24"/>
          <w:szCs w:val="24"/>
          <w:lang w:val="en-GB"/>
        </w:rPr>
      </w:pPr>
    </w:p>
    <w:p w14:paraId="3C72322A">
      <w:pPr>
        <w:jc w:val="both"/>
        <w:rPr>
          <w:rFonts w:eastAsia="SimSun"/>
          <w:sz w:val="24"/>
          <w:szCs w:val="24"/>
        </w:rPr>
      </w:pPr>
      <w:r>
        <w:rPr>
          <w:rFonts w:ascii="Times New Roman" w:hAnsi="Times New Roman" w:eastAsia="Times New Roman" w:cs="Times New Roman"/>
          <w:sz w:val="24"/>
          <w:szCs w:val="24"/>
          <w:lang w:val="en-GB"/>
        </w:rPr>
        <w:t xml:space="preserve">  </w:t>
      </w:r>
      <w:r>
        <w:rPr>
          <w:rFonts w:eastAsia="SimSun"/>
          <w:sz w:val="24"/>
          <w:szCs w:val="24"/>
        </w:rPr>
        <w:t>Fig 7 depicts the SNR vs BER comparison for FSK and MSK. From the figure, we can see that MSK has better performance when compared to FSK.</w:t>
      </w:r>
    </w:p>
    <w:p w14:paraId="61AA3FCD">
      <w:pPr>
        <w:jc w:val="both"/>
      </w:pPr>
      <w:r>
        <w:drawing>
          <wp:inline distT="0" distB="0" distL="114300" distR="114300">
            <wp:extent cx="6257925" cy="2600325"/>
            <wp:effectExtent l="0" t="0" r="0" b="0"/>
            <wp:docPr id="1781106931" name="Picture 1781106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106931" name="Picture 1781106931"/>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6257925" cy="2600325"/>
                    </a:xfrm>
                    <a:prstGeom prst="rect">
                      <a:avLst/>
                    </a:prstGeom>
                  </pic:spPr>
                </pic:pic>
              </a:graphicData>
            </a:graphic>
          </wp:inline>
        </w:drawing>
      </w:r>
      <w:r>
        <w:t xml:space="preserve">        </w:t>
      </w:r>
    </w:p>
    <w:p w14:paraId="540518D2">
      <w:pPr>
        <w:jc w:val="both"/>
      </w:pPr>
      <w:r>
        <w:t xml:space="preserve">                                                               Fig 8. Spectral plot of FSK vs MSK</w:t>
      </w:r>
    </w:p>
    <w:p w14:paraId="6E7F2A56">
      <w:pPr>
        <w:jc w:val="both"/>
      </w:pPr>
    </w:p>
    <w:p w14:paraId="426F5982">
      <w:pPr>
        <w:jc w:val="both"/>
        <w:rPr>
          <w:rFonts w:eastAsia="SimSun"/>
          <w:sz w:val="24"/>
          <w:szCs w:val="24"/>
        </w:rPr>
      </w:pPr>
      <w:r>
        <w:rPr>
          <w:rFonts w:eastAsia="SimSun"/>
          <w:sz w:val="24"/>
          <w:szCs w:val="24"/>
        </w:rPr>
        <w:t>Fig 8 illustrates an example of the spectral plot of FSK and MSK. From the figure, we can make out that MSK has better side lobe suppression when compared to FSK.</w:t>
      </w:r>
    </w:p>
    <w:p w14:paraId="716DE067">
      <w:pPr>
        <w:jc w:val="both"/>
        <w:rPr>
          <w:rFonts w:eastAsia="SimSun"/>
          <w:sz w:val="24"/>
          <w:szCs w:val="24"/>
        </w:rPr>
      </w:pPr>
    </w:p>
    <w:p w14:paraId="7D4296A0">
      <w:pPr>
        <w:jc w:val="both"/>
        <w:rPr>
          <w:rFonts w:ascii="Times New Roman" w:hAnsi="Times New Roman" w:eastAsia="Times New Roman" w:cs="Times New Roman"/>
          <w:sz w:val="24"/>
          <w:szCs w:val="24"/>
          <w:lang w:val="en-GB"/>
        </w:rPr>
      </w:pPr>
      <w:r>
        <w:rPr>
          <w:rFonts w:ascii="Times New Roman" w:hAnsi="Times New Roman" w:eastAsia="Times New Roman" w:cs="Times New Roman"/>
          <w:sz w:val="24"/>
          <w:szCs w:val="24"/>
          <w:lang w:val="en-GB"/>
        </w:rPr>
        <w:t xml:space="preserve">                            </w:t>
      </w:r>
    </w:p>
    <w:p w14:paraId="322935E1">
      <w:pPr>
        <w:jc w:val="both"/>
      </w:pPr>
      <w:r>
        <w:rPr>
          <w:rFonts w:eastAsia="SimSun"/>
          <w:sz w:val="24"/>
          <w:szCs w:val="24"/>
        </w:rPr>
        <w:t xml:space="preserve">                                                    </w:t>
      </w:r>
    </w:p>
    <w:p w14:paraId="7EC7A26A">
      <w:pPr>
        <w:jc w:val="both"/>
      </w:pPr>
    </w:p>
    <w:p w14:paraId="61AB5D1B">
      <w:pPr>
        <w:jc w:val="both"/>
        <w:rPr>
          <w:rFonts w:ascii="Times New Roman" w:hAnsi="Times New Roman" w:eastAsia="Times New Roman" w:cs="Times New Roman"/>
          <w:b/>
          <w:bCs/>
          <w:i/>
          <w:iCs/>
          <w:sz w:val="24"/>
          <w:szCs w:val="24"/>
          <w:lang w:val="en-GB"/>
        </w:rPr>
      </w:pPr>
      <w:r>
        <w:rPr>
          <w:rFonts w:eastAsia="SimSun"/>
          <w:sz w:val="24"/>
          <w:szCs w:val="24"/>
        </w:rPr>
        <w:t xml:space="preserve">MSK is also more spectrally efficient than BPSK.  </w:t>
      </w:r>
      <w:r>
        <w:rPr>
          <w:rFonts w:ascii="Times New Roman" w:hAnsi="Times New Roman" w:eastAsia="Times New Roman" w:cs="Times New Roman"/>
          <w:b w:val="0"/>
          <w:bCs w:val="0"/>
          <w:i w:val="0"/>
          <w:iCs w:val="0"/>
          <w:strike w:val="0"/>
          <w:dstrike w:val="0"/>
          <w:color w:val="000000" w:themeColor="text1" w:themeTint="FF"/>
          <w:sz w:val="24"/>
          <w:szCs w:val="24"/>
          <w:u w:val="none"/>
          <w:lang w:val="en"/>
          <w14:textFill>
            <w14:solidFill>
              <w14:schemeClr w14:val="tx1">
                <w14:lumMod w14:val="100000"/>
                <w14:lumOff w14:val="0"/>
              </w14:schemeClr>
            </w14:solidFill>
          </w14:textFill>
        </w:rPr>
        <w:t>The spectrum of MSK falls off as the fourth power, versus the second power for BPSK.</w:t>
      </w:r>
    </w:p>
    <w:p w14:paraId="32818C96">
      <w:pPr>
        <w:jc w:val="both"/>
        <w:rPr>
          <w:rFonts w:eastAsia="SimSun"/>
          <w:sz w:val="24"/>
          <w:szCs w:val="24"/>
        </w:rPr>
      </w:pPr>
    </w:p>
    <w:p w14:paraId="3FAF3428">
      <w:pPr>
        <w:jc w:val="both"/>
        <w:rPr>
          <w:rFonts w:ascii="Times New Roman" w:hAnsi="Times New Roman" w:eastAsia="Times New Roman" w:cs="Times New Roman"/>
          <w:b/>
          <w:bCs/>
          <w:i/>
          <w:iCs/>
          <w:strike w:val="0"/>
          <w:dstrike w:val="0"/>
          <w:color w:val="000000" w:themeColor="text1" w:themeTint="FF"/>
          <w:sz w:val="24"/>
          <w:szCs w:val="24"/>
          <w:u w:val="none"/>
          <w:lang w:val="en"/>
          <w14:textFill>
            <w14:solidFill>
              <w14:schemeClr w14:val="tx1">
                <w14:lumMod w14:val="100000"/>
                <w14:lumOff w14:val="0"/>
              </w14:schemeClr>
            </w14:solidFill>
          </w14:textFill>
        </w:rPr>
      </w:pPr>
      <w:r>
        <w:rPr>
          <w:rFonts w:ascii="Times New Roman" w:hAnsi="Times New Roman" w:eastAsia="Times New Roman" w:cs="Times New Roman"/>
          <w:b/>
          <w:bCs/>
          <w:i/>
          <w:iCs/>
          <w:sz w:val="24"/>
          <w:szCs w:val="24"/>
          <w:lang w:val="en-GB"/>
        </w:rPr>
        <w:t xml:space="preserve">Observation 4 - MSK provides advantages in bandwidth efficiency and performance at the cost of increased complexity in both modulation and demodulation processes. </w:t>
      </w:r>
    </w:p>
    <w:p w14:paraId="693406EE">
      <w:pPr>
        <w:jc w:val="both"/>
        <w:rPr>
          <w:b/>
          <w:bCs/>
          <w:i/>
          <w:iCs/>
          <w:sz w:val="24"/>
          <w:szCs w:val="24"/>
        </w:rPr>
      </w:pPr>
      <w:r>
        <w:rPr>
          <w:b/>
          <w:bCs/>
          <w:i/>
          <w:iCs/>
          <w:sz w:val="24"/>
          <w:szCs w:val="24"/>
        </w:rPr>
        <w:t>Proposal 4 - For the D2R transmission, MSK modulation scheme can also be supported.</w:t>
      </w:r>
      <w:r>
        <w:rPr>
          <w:rFonts w:ascii="Times New Roman" w:hAnsi="Times New Roman" w:eastAsia="Times New Roman" w:cs="Times New Roman"/>
          <w:sz w:val="24"/>
          <w:szCs w:val="24"/>
          <w:lang w:val="en-GB"/>
        </w:rPr>
        <w:t xml:space="preserve">  </w:t>
      </w:r>
    </w:p>
    <w:p w14:paraId="11E9372A">
      <w:pPr>
        <w:jc w:val="both"/>
        <w:rPr>
          <w:rFonts w:ascii="Times New Roman" w:hAnsi="Times New Roman" w:eastAsia="Times New Roman" w:cs="Times New Roman"/>
          <w:sz w:val="24"/>
          <w:szCs w:val="24"/>
          <w:lang w:val="en-GB"/>
        </w:rPr>
      </w:pPr>
    </w:p>
    <w:p w14:paraId="19C3AD87">
      <w:pPr>
        <w:jc w:val="both"/>
        <w:rPr>
          <w:b w:val="0"/>
          <w:bCs w:val="0"/>
          <w:sz w:val="24"/>
          <w:szCs w:val="24"/>
        </w:rPr>
      </w:pPr>
      <w:r>
        <w:rPr>
          <w:b/>
          <w:bCs/>
          <w:sz w:val="24"/>
          <w:szCs w:val="24"/>
        </w:rPr>
        <w:t xml:space="preserve">2.5 D2R FEC – </w:t>
      </w:r>
      <w:r>
        <w:rPr>
          <w:b w:val="0"/>
          <w:bCs w:val="0"/>
          <w:sz w:val="24"/>
          <w:szCs w:val="24"/>
        </w:rPr>
        <w:t>The below points were agreed upon in RAN1#118 [3]:</w:t>
      </w:r>
    </w:p>
    <w:p w14:paraId="45226D3C">
      <w:pPr>
        <w:spacing w:before="0" w:beforeAutospacing="0" w:after="0" w:afterAutospacing="0"/>
        <w:ind w:left="0"/>
        <w:jc w:val="both"/>
        <w:rPr>
          <w:rFonts w:ascii="Times New Roman" w:hAnsi="Times New Roman" w:eastAsia="Times New Roman" w:cs="Times New Roman"/>
          <w:sz w:val="24"/>
          <w:szCs w:val="24"/>
          <w:lang w:val="en-GB"/>
        </w:rPr>
      </w:pPr>
      <w:r>
        <w:rPr>
          <w:rFonts w:ascii="Times New Roman" w:hAnsi="Times New Roman" w:eastAsia="Times New Roman" w:cs="Times New Roman"/>
          <w:sz w:val="24"/>
          <w:szCs w:val="24"/>
          <w:lang w:val="en-GB"/>
        </w:rPr>
        <w:t>For D2R FEC study, the LTE convolutional code polynomials are a reference. Other designs can be studied subject to:</w:t>
      </w:r>
    </w:p>
    <w:p w14:paraId="6BD4C668">
      <w:pPr>
        <w:pStyle w:val="33"/>
        <w:numPr>
          <w:ilvl w:val="0"/>
          <w:numId w:val="5"/>
        </w:numPr>
        <w:spacing w:before="0" w:beforeAutospacing="0" w:after="0" w:afterAutospacing="0"/>
        <w:jc w:val="both"/>
        <w:rPr>
          <w:rFonts w:ascii="Times New Roman" w:hAnsi="Times New Roman" w:eastAsia="Times New Roman" w:cs="Times New Roman"/>
          <w:sz w:val="24"/>
          <w:szCs w:val="24"/>
          <w:lang w:val="en-GB"/>
        </w:rPr>
      </w:pPr>
      <w:r>
        <w:rPr>
          <w:rFonts w:ascii="Times New Roman" w:hAnsi="Times New Roman" w:eastAsia="Times New Roman" w:cs="Times New Roman"/>
          <w:sz w:val="24"/>
          <w:szCs w:val="24"/>
          <w:lang w:val="en-GB"/>
        </w:rPr>
        <w:t>Constraint length K = 8 or K = 7 or K = 6 or K = 4 for further study</w:t>
      </w:r>
    </w:p>
    <w:p w14:paraId="7AC6350A">
      <w:pPr>
        <w:pStyle w:val="33"/>
        <w:numPr>
          <w:ilvl w:val="0"/>
          <w:numId w:val="5"/>
        </w:numPr>
        <w:spacing w:before="0" w:beforeAutospacing="0" w:after="0" w:afterAutospacing="0"/>
        <w:jc w:val="both"/>
        <w:rPr>
          <w:rFonts w:ascii="Times New Roman" w:hAnsi="Times New Roman" w:eastAsia="Times New Roman" w:cs="Times New Roman"/>
          <w:sz w:val="24"/>
          <w:szCs w:val="24"/>
          <w:lang w:val="en-GB"/>
        </w:rPr>
      </w:pPr>
      <w:r>
        <w:rPr>
          <w:rFonts w:ascii="Times New Roman" w:hAnsi="Times New Roman" w:eastAsia="Times New Roman" w:cs="Times New Roman"/>
          <w:sz w:val="24"/>
          <w:szCs w:val="24"/>
          <w:lang w:val="en-GB"/>
        </w:rPr>
        <w:t>Mother code-rate R = 1/6, 1/4, 1/3, 1/2 for further study</w:t>
      </w:r>
    </w:p>
    <w:p w14:paraId="515C8504">
      <w:pPr>
        <w:pStyle w:val="33"/>
        <w:numPr>
          <w:ilvl w:val="0"/>
          <w:numId w:val="5"/>
        </w:numPr>
        <w:spacing w:before="0" w:beforeAutospacing="0" w:after="0" w:afterAutospacing="0"/>
        <w:jc w:val="both"/>
        <w:rPr>
          <w:rFonts w:ascii="Times New Roman" w:hAnsi="Times New Roman" w:eastAsia="Times New Roman" w:cs="Times New Roman"/>
          <w:sz w:val="24"/>
          <w:szCs w:val="24"/>
          <w:lang w:val="en-GB"/>
        </w:rPr>
      </w:pPr>
      <w:r>
        <w:rPr>
          <w:rFonts w:ascii="Times New Roman" w:hAnsi="Times New Roman" w:eastAsia="Times New Roman" w:cs="Times New Roman"/>
          <w:sz w:val="24"/>
          <w:szCs w:val="24"/>
          <w:lang w:val="en-GB"/>
        </w:rPr>
        <w:t>FFS other details, e.g. final code rate by puncturing, shift-register initialization/termination.</w:t>
      </w:r>
    </w:p>
    <w:p w14:paraId="78145902">
      <w:pPr>
        <w:pStyle w:val="33"/>
        <w:spacing w:before="0" w:beforeAutospacing="0" w:after="0" w:afterAutospacing="0"/>
        <w:ind w:left="720"/>
        <w:jc w:val="both"/>
        <w:rPr>
          <w:rFonts w:ascii="Times New Roman" w:hAnsi="Times New Roman" w:eastAsia="Times New Roman" w:cs="Times New Roman"/>
          <w:sz w:val="24"/>
          <w:szCs w:val="24"/>
          <w:lang w:val="en-GB"/>
        </w:rPr>
      </w:pPr>
    </w:p>
    <w:p w14:paraId="6424C052">
      <w:pPr>
        <w:spacing w:before="0" w:beforeAutospacing="0" w:after="0" w:afterAutospacing="0"/>
        <w:ind w:left="0"/>
        <w:jc w:val="both"/>
        <w:rPr>
          <w:rFonts w:ascii="Times New Roman" w:hAnsi="Times New Roman" w:eastAsia="Times New Roman" w:cs="Times New Roman"/>
          <w:sz w:val="24"/>
          <w:szCs w:val="24"/>
          <w:lang w:val="en-GB"/>
        </w:rPr>
      </w:pPr>
      <w:r>
        <w:rPr>
          <w:rFonts w:ascii="Times New Roman" w:hAnsi="Times New Roman" w:eastAsia="Times New Roman" w:cs="Times New Roman"/>
          <w:sz w:val="24"/>
          <w:szCs w:val="24"/>
          <w:lang w:val="en-GB"/>
        </w:rPr>
        <w:t>The LTE Convolutional Encoder block implements the encoding polynomials specified by LTE standard TS 36.212 [4]. The convolutional code has constraint length 7 and is tail biting with coding rate 1/3 and the generator polynomials are G0=133, G1=171 and G2=165 (in octal format).</w:t>
      </w:r>
    </w:p>
    <w:p w14:paraId="69368C45">
      <w:pPr>
        <w:spacing w:before="0" w:beforeAutospacing="0" w:after="0" w:afterAutospacing="0"/>
        <w:ind w:left="0"/>
        <w:jc w:val="both"/>
        <w:rPr>
          <w:rFonts w:ascii="Times New Roman" w:hAnsi="Times New Roman" w:eastAsia="Times New Roman" w:cs="Times New Roman"/>
          <w:sz w:val="24"/>
          <w:szCs w:val="24"/>
          <w:lang w:val="en-GB"/>
        </w:rPr>
      </w:pPr>
      <w:r>
        <w:rPr>
          <w:rFonts w:ascii="Times New Roman" w:hAnsi="Times New Roman" w:eastAsia="Times New Roman" w:cs="Times New Roman"/>
          <w:sz w:val="24"/>
          <w:szCs w:val="24"/>
          <w:lang w:val="en-GB"/>
        </w:rPr>
        <w:t>Figure 9 shows the SNR vs BER comparison of OOK and BPSK with LTE convolutional coding with rate 1/3. It also captures the uncoded scheme and the results with code rate ½.</w:t>
      </w:r>
    </w:p>
    <w:p w14:paraId="16CD848A">
      <w:pPr>
        <w:jc w:val="both"/>
        <w:rPr>
          <w:b/>
          <w:bCs/>
          <w:i/>
          <w:iCs/>
          <w:sz w:val="24"/>
          <w:szCs w:val="24"/>
        </w:rPr>
      </w:pPr>
      <w:r>
        <w:rPr>
          <w:rFonts w:ascii="Times New Roman" w:hAnsi="Times New Roman" w:eastAsia="Times New Roman" w:cs="Times New Roman"/>
          <w:sz w:val="24"/>
          <w:szCs w:val="24"/>
          <w:lang w:val="en-GB"/>
        </w:rPr>
        <w:t xml:space="preserve">  </w:t>
      </w:r>
    </w:p>
    <w:p w14:paraId="178334B7">
      <w:pPr>
        <w:jc w:val="both"/>
      </w:pPr>
      <w:r>
        <w:t xml:space="preserve">                            </w:t>
      </w:r>
      <w:r>
        <w:drawing>
          <wp:inline distT="0" distB="0" distL="114300" distR="114300">
            <wp:extent cx="3992880" cy="3298190"/>
            <wp:effectExtent l="0" t="0" r="0" b="0"/>
            <wp:docPr id="1444391435" name="Picture 1444391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4391435" name="Picture 1444391435"/>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3993174" cy="3298361"/>
                    </a:xfrm>
                    <a:prstGeom prst="rect">
                      <a:avLst/>
                    </a:prstGeom>
                  </pic:spPr>
                </pic:pic>
              </a:graphicData>
            </a:graphic>
          </wp:inline>
        </w:drawing>
      </w:r>
    </w:p>
    <w:p w14:paraId="74770AF5">
      <w:pPr>
        <w:jc w:val="both"/>
        <w:rPr>
          <w:rFonts w:ascii="Times New Roman" w:hAnsi="Times New Roman" w:eastAsia="Times New Roman" w:cs="Times New Roman"/>
          <w:b w:val="0"/>
          <w:bCs w:val="0"/>
          <w:i w:val="0"/>
          <w:iCs w:val="0"/>
          <w:sz w:val="20"/>
          <w:szCs w:val="20"/>
          <w:lang w:val="en-GB"/>
        </w:rPr>
      </w:pPr>
      <w:r>
        <w:rPr>
          <w:rFonts w:ascii="Times New Roman" w:hAnsi="Times New Roman" w:eastAsia="Times New Roman" w:cs="Times New Roman"/>
          <w:b w:val="0"/>
          <w:bCs w:val="0"/>
          <w:i w:val="0"/>
          <w:iCs w:val="0"/>
          <w:sz w:val="20"/>
          <w:szCs w:val="20"/>
          <w:lang w:val="en-GB"/>
        </w:rPr>
        <w:t xml:space="preserve">                   Fig 9. SNR vs BER for OOK vs BPSK without coding, with CC code rate 1/3, with CC code rate ½</w:t>
      </w:r>
    </w:p>
    <w:p w14:paraId="4C4C4491">
      <w:pPr>
        <w:jc w:val="both"/>
        <w:rPr>
          <w:rFonts w:ascii="Times New Roman" w:hAnsi="Times New Roman" w:eastAsia="Times New Roman" w:cs="Times New Roman"/>
          <w:b w:val="0"/>
          <w:bCs w:val="0"/>
          <w:i w:val="0"/>
          <w:iCs w:val="0"/>
          <w:sz w:val="24"/>
          <w:szCs w:val="24"/>
          <w:lang w:val="en-GB"/>
        </w:rPr>
      </w:pPr>
    </w:p>
    <w:p w14:paraId="58B44304">
      <w:pPr>
        <w:jc w:val="both"/>
        <w:rPr>
          <w:rFonts w:ascii="Times New Roman" w:hAnsi="Times New Roman" w:eastAsia="Times New Roman" w:cs="Times New Roman"/>
          <w:b w:val="0"/>
          <w:bCs w:val="0"/>
          <w:i w:val="0"/>
          <w:iCs w:val="0"/>
          <w:sz w:val="24"/>
          <w:szCs w:val="24"/>
          <w:lang w:val="en-GB"/>
        </w:rPr>
      </w:pPr>
      <w:r>
        <w:rPr>
          <w:rFonts w:ascii="Times New Roman" w:hAnsi="Times New Roman" w:eastAsia="Times New Roman" w:cs="Times New Roman"/>
          <w:b w:val="0"/>
          <w:bCs w:val="0"/>
          <w:i w:val="0"/>
          <w:iCs w:val="0"/>
          <w:sz w:val="24"/>
          <w:szCs w:val="24"/>
          <w:lang w:val="en-GB"/>
        </w:rPr>
        <w:t>The below table shows the comparison of the Rate ½ and Rate 1/3 coding schemes.</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973"/>
        <w:gridCol w:w="1347"/>
        <w:gridCol w:w="3318"/>
        <w:gridCol w:w="1806"/>
        <w:gridCol w:w="1584"/>
      </w:tblGrid>
      <w:tr w14:paraId="4C29A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0016" w:type="dxa"/>
            <w:gridSpan w:val="6"/>
            <w:shd w:val="clear" w:color="auto" w:fill="auto"/>
          </w:tcPr>
          <w:p w14:paraId="3DB9542E">
            <w:pPr>
              <w:jc w:val="center"/>
              <w:rPr>
                <w:rFonts w:eastAsia="SimSun"/>
                <w:b/>
                <w:bCs/>
                <w:sz w:val="24"/>
                <w:szCs w:val="24"/>
              </w:rPr>
            </w:pPr>
            <w:r>
              <w:rPr>
                <w:rFonts w:eastAsia="SimSun"/>
                <w:b/>
                <w:bCs/>
                <w:sz w:val="24"/>
                <w:szCs w:val="24"/>
              </w:rPr>
              <w:t xml:space="preserve">Comparison of the coding schemes </w:t>
            </w:r>
          </w:p>
        </w:tc>
      </w:tr>
      <w:tr w14:paraId="754B4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988" w:type="dxa"/>
            <w:shd w:val="clear" w:color="auto" w:fill="auto"/>
          </w:tcPr>
          <w:p w14:paraId="061701D7">
            <w:pPr>
              <w:spacing w:line="259" w:lineRule="auto"/>
              <w:jc w:val="center"/>
              <w:rPr>
                <w:rFonts w:eastAsia="SimSun"/>
                <w:sz w:val="24"/>
                <w:szCs w:val="24"/>
              </w:rPr>
            </w:pPr>
            <w:r>
              <w:rPr>
                <w:rFonts w:eastAsia="SimSun"/>
                <w:sz w:val="24"/>
                <w:szCs w:val="24"/>
              </w:rPr>
              <w:t>Sl. No.</w:t>
            </w:r>
          </w:p>
        </w:tc>
        <w:tc>
          <w:tcPr>
            <w:tcW w:w="973" w:type="dxa"/>
            <w:shd w:val="clear" w:color="auto" w:fill="auto"/>
          </w:tcPr>
          <w:p w14:paraId="1E975478">
            <w:pPr>
              <w:suppressLineNumbers w:val="0"/>
              <w:bidi w:val="0"/>
              <w:spacing w:before="0" w:beforeAutospacing="0" w:after="0" w:afterAutospacing="0" w:line="259" w:lineRule="auto"/>
              <w:ind w:left="0" w:right="0"/>
              <w:jc w:val="center"/>
            </w:pPr>
            <w:r>
              <w:rPr>
                <w:rFonts w:eastAsia="SimSun"/>
                <w:sz w:val="24"/>
                <w:szCs w:val="24"/>
              </w:rPr>
              <w:t>Rate</w:t>
            </w:r>
          </w:p>
        </w:tc>
        <w:tc>
          <w:tcPr>
            <w:tcW w:w="1347" w:type="dxa"/>
            <w:shd w:val="clear" w:color="auto" w:fill="auto"/>
          </w:tcPr>
          <w:p w14:paraId="448DD767">
            <w:pPr>
              <w:suppressLineNumbers w:val="0"/>
              <w:bidi w:val="0"/>
              <w:spacing w:before="0" w:beforeAutospacing="0" w:after="0" w:afterAutospacing="0" w:line="259" w:lineRule="auto"/>
              <w:ind w:left="0" w:right="0"/>
              <w:jc w:val="center"/>
            </w:pPr>
            <w:r>
              <w:rPr>
                <w:rFonts w:eastAsia="SimSun"/>
                <w:sz w:val="24"/>
                <w:szCs w:val="24"/>
              </w:rPr>
              <w:t xml:space="preserve">Constraint length </w:t>
            </w:r>
          </w:p>
        </w:tc>
        <w:tc>
          <w:tcPr>
            <w:tcW w:w="3318" w:type="dxa"/>
            <w:shd w:val="clear" w:color="auto" w:fill="auto"/>
          </w:tcPr>
          <w:p w14:paraId="516C9ECB">
            <w:pPr>
              <w:spacing w:line="259" w:lineRule="auto"/>
              <w:jc w:val="center"/>
              <w:rPr>
                <w:rFonts w:eastAsia="SimSun"/>
                <w:sz w:val="24"/>
                <w:szCs w:val="24"/>
              </w:rPr>
            </w:pPr>
            <w:r>
              <w:rPr>
                <w:rFonts w:eastAsia="SimSun"/>
                <w:sz w:val="24"/>
                <w:szCs w:val="24"/>
              </w:rPr>
              <w:t>Generator Polynomials (Octal)</w:t>
            </w:r>
          </w:p>
        </w:tc>
        <w:tc>
          <w:tcPr>
            <w:tcW w:w="1806" w:type="dxa"/>
            <w:shd w:val="clear" w:color="auto" w:fill="auto"/>
          </w:tcPr>
          <w:p w14:paraId="4FBF97FD">
            <w:pPr>
              <w:spacing w:line="259" w:lineRule="auto"/>
              <w:jc w:val="center"/>
              <w:rPr>
                <w:rFonts w:eastAsia="SimSun"/>
                <w:sz w:val="24"/>
                <w:szCs w:val="24"/>
              </w:rPr>
            </w:pPr>
            <w:r>
              <w:rPr>
                <w:rFonts w:eastAsia="SimSun"/>
                <w:sz w:val="24"/>
                <w:szCs w:val="24"/>
              </w:rPr>
              <w:t>Coding gain w.r.t. uncoded</w:t>
            </w:r>
          </w:p>
        </w:tc>
        <w:tc>
          <w:tcPr>
            <w:tcW w:w="1584" w:type="dxa"/>
            <w:shd w:val="clear" w:color="auto" w:fill="auto"/>
          </w:tcPr>
          <w:p w14:paraId="442C1C40">
            <w:pPr>
              <w:spacing w:line="259" w:lineRule="auto"/>
              <w:jc w:val="center"/>
              <w:rPr>
                <w:rFonts w:eastAsia="SimSun"/>
                <w:sz w:val="24"/>
                <w:szCs w:val="24"/>
              </w:rPr>
            </w:pPr>
            <w:r>
              <w:rPr>
                <w:rFonts w:eastAsia="SimSun"/>
                <w:sz w:val="24"/>
                <w:szCs w:val="24"/>
              </w:rPr>
              <w:t>Effective throughput w.r.t uncoded</w:t>
            </w:r>
          </w:p>
        </w:tc>
      </w:tr>
      <w:tr w14:paraId="2865C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988" w:type="dxa"/>
            <w:shd w:val="clear" w:color="auto" w:fill="auto"/>
          </w:tcPr>
          <w:p w14:paraId="14A16F25">
            <w:pPr>
              <w:jc w:val="both"/>
              <w:rPr>
                <w:rFonts w:eastAsia="SimSun"/>
                <w:sz w:val="24"/>
                <w:szCs w:val="24"/>
              </w:rPr>
            </w:pPr>
            <w:r>
              <w:rPr>
                <w:rFonts w:eastAsia="SimSun"/>
                <w:sz w:val="24"/>
                <w:szCs w:val="24"/>
              </w:rPr>
              <w:t>1.</w:t>
            </w:r>
          </w:p>
        </w:tc>
        <w:tc>
          <w:tcPr>
            <w:tcW w:w="973" w:type="dxa"/>
            <w:shd w:val="clear" w:color="auto" w:fill="auto"/>
          </w:tcPr>
          <w:p w14:paraId="2524B4AE">
            <w:pPr>
              <w:jc w:val="both"/>
              <w:rPr>
                <w:rFonts w:eastAsia="SimSun"/>
                <w:sz w:val="24"/>
                <w:szCs w:val="24"/>
              </w:rPr>
            </w:pPr>
            <w:r>
              <w:rPr>
                <w:rFonts w:eastAsia="SimSun"/>
                <w:sz w:val="24"/>
                <w:szCs w:val="24"/>
              </w:rPr>
              <w:t>1/3</w:t>
            </w:r>
          </w:p>
        </w:tc>
        <w:tc>
          <w:tcPr>
            <w:tcW w:w="1347" w:type="dxa"/>
            <w:shd w:val="clear" w:color="auto" w:fill="auto"/>
          </w:tcPr>
          <w:p w14:paraId="6714E870">
            <w:pPr>
              <w:jc w:val="both"/>
              <w:rPr>
                <w:rFonts w:eastAsia="SimSun"/>
                <w:sz w:val="24"/>
                <w:szCs w:val="24"/>
              </w:rPr>
            </w:pPr>
            <w:r>
              <w:rPr>
                <w:rFonts w:eastAsia="SimSun"/>
                <w:sz w:val="24"/>
                <w:szCs w:val="24"/>
              </w:rPr>
              <w:t>7</w:t>
            </w:r>
          </w:p>
        </w:tc>
        <w:tc>
          <w:tcPr>
            <w:tcW w:w="3318" w:type="dxa"/>
            <w:shd w:val="clear" w:color="auto" w:fill="auto"/>
          </w:tcPr>
          <w:p w14:paraId="44A91031">
            <w:pPr>
              <w:jc w:val="both"/>
              <w:rPr>
                <w:rFonts w:ascii="Times New Roman" w:hAnsi="Times New Roman" w:eastAsia="Times New Roman" w:cs="Times New Roman"/>
                <w:sz w:val="24"/>
                <w:szCs w:val="24"/>
                <w:lang w:val="en-GB"/>
              </w:rPr>
            </w:pPr>
            <w:r>
              <w:rPr>
                <w:rFonts w:ascii="Times New Roman" w:hAnsi="Times New Roman" w:eastAsia="Times New Roman" w:cs="Times New Roman"/>
                <w:sz w:val="24"/>
                <w:szCs w:val="24"/>
                <w:lang w:val="en-GB"/>
              </w:rPr>
              <w:t>G0=133, G1=171 and G2=165</w:t>
            </w:r>
          </w:p>
        </w:tc>
        <w:tc>
          <w:tcPr>
            <w:tcW w:w="1806" w:type="dxa"/>
            <w:shd w:val="clear" w:color="auto" w:fill="auto"/>
          </w:tcPr>
          <w:p w14:paraId="06E4966C">
            <w:pPr>
              <w:jc w:val="both"/>
              <w:rPr>
                <w:rFonts w:eastAsia="SimSun"/>
                <w:sz w:val="24"/>
                <w:szCs w:val="24"/>
              </w:rPr>
            </w:pPr>
            <w:r>
              <w:rPr>
                <w:rFonts w:eastAsia="SimSun"/>
                <w:sz w:val="24"/>
                <w:szCs w:val="24"/>
              </w:rPr>
              <w:t>6-7 dB</w:t>
            </w:r>
          </w:p>
        </w:tc>
        <w:tc>
          <w:tcPr>
            <w:tcW w:w="1584" w:type="dxa"/>
            <w:shd w:val="clear" w:color="auto" w:fill="auto"/>
          </w:tcPr>
          <w:p w14:paraId="1527283F">
            <w:pPr>
              <w:jc w:val="both"/>
              <w:rPr>
                <w:rFonts w:eastAsia="SimSun"/>
                <w:sz w:val="24"/>
                <w:szCs w:val="24"/>
              </w:rPr>
            </w:pPr>
            <w:r>
              <w:rPr>
                <w:rFonts w:eastAsia="SimSun"/>
                <w:sz w:val="24"/>
                <w:szCs w:val="24"/>
              </w:rPr>
              <w:t>33.33%</w:t>
            </w:r>
          </w:p>
        </w:tc>
      </w:tr>
      <w:tr w14:paraId="2416F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988" w:type="dxa"/>
            <w:shd w:val="clear" w:color="auto" w:fill="auto"/>
          </w:tcPr>
          <w:p w14:paraId="6F50E2BF">
            <w:pPr>
              <w:jc w:val="both"/>
              <w:rPr>
                <w:rFonts w:eastAsia="SimSun"/>
                <w:sz w:val="24"/>
                <w:szCs w:val="24"/>
              </w:rPr>
            </w:pPr>
            <w:r>
              <w:rPr>
                <w:rFonts w:eastAsia="SimSun"/>
                <w:sz w:val="24"/>
                <w:szCs w:val="24"/>
              </w:rPr>
              <w:t>2.</w:t>
            </w:r>
          </w:p>
        </w:tc>
        <w:tc>
          <w:tcPr>
            <w:tcW w:w="973" w:type="dxa"/>
            <w:shd w:val="clear" w:color="auto" w:fill="auto"/>
          </w:tcPr>
          <w:p w14:paraId="20F3CCA2">
            <w:pPr>
              <w:jc w:val="both"/>
              <w:rPr>
                <w:rFonts w:eastAsia="SimSun"/>
                <w:sz w:val="24"/>
                <w:szCs w:val="24"/>
              </w:rPr>
            </w:pPr>
            <w:r>
              <w:rPr>
                <w:rFonts w:eastAsia="SimSun"/>
                <w:sz w:val="24"/>
                <w:szCs w:val="24"/>
              </w:rPr>
              <w:t>1/2</w:t>
            </w:r>
          </w:p>
        </w:tc>
        <w:tc>
          <w:tcPr>
            <w:tcW w:w="1347" w:type="dxa"/>
            <w:shd w:val="clear" w:color="auto" w:fill="auto"/>
          </w:tcPr>
          <w:p w14:paraId="58E07082">
            <w:pPr>
              <w:jc w:val="both"/>
              <w:rPr>
                <w:rFonts w:eastAsia="SimSun"/>
                <w:sz w:val="24"/>
                <w:szCs w:val="24"/>
              </w:rPr>
            </w:pPr>
            <w:r>
              <w:rPr>
                <w:rFonts w:eastAsia="SimSun"/>
                <w:sz w:val="24"/>
                <w:szCs w:val="24"/>
              </w:rPr>
              <w:t>7</w:t>
            </w:r>
          </w:p>
        </w:tc>
        <w:tc>
          <w:tcPr>
            <w:tcW w:w="3318" w:type="dxa"/>
            <w:shd w:val="clear" w:color="auto" w:fill="auto"/>
          </w:tcPr>
          <w:p w14:paraId="04CF183D">
            <w:pPr>
              <w:jc w:val="both"/>
              <w:rPr>
                <w:rFonts w:ascii="Times New Roman" w:hAnsi="Times New Roman" w:eastAsia="Times New Roman" w:cs="Times New Roman"/>
                <w:sz w:val="24"/>
                <w:szCs w:val="24"/>
                <w:lang w:val="en-GB"/>
              </w:rPr>
            </w:pPr>
            <w:r>
              <w:rPr>
                <w:rFonts w:ascii="Times New Roman" w:hAnsi="Times New Roman" w:eastAsia="Times New Roman" w:cs="Times New Roman"/>
                <w:sz w:val="24"/>
                <w:szCs w:val="24"/>
                <w:lang w:val="en-GB"/>
              </w:rPr>
              <w:t>G0=171, G1=133</w:t>
            </w:r>
          </w:p>
          <w:p w14:paraId="6D11C530">
            <w:pPr>
              <w:jc w:val="both"/>
              <w:rPr>
                <w:rFonts w:eastAsia="SimSun"/>
                <w:sz w:val="24"/>
                <w:szCs w:val="24"/>
              </w:rPr>
            </w:pPr>
          </w:p>
        </w:tc>
        <w:tc>
          <w:tcPr>
            <w:tcW w:w="1806" w:type="dxa"/>
            <w:shd w:val="clear" w:color="auto" w:fill="auto"/>
          </w:tcPr>
          <w:p w14:paraId="57CBE1C7">
            <w:pPr>
              <w:jc w:val="both"/>
              <w:rPr>
                <w:rFonts w:eastAsia="SimSun"/>
                <w:sz w:val="24"/>
                <w:szCs w:val="24"/>
              </w:rPr>
            </w:pPr>
            <w:r>
              <w:rPr>
                <w:rFonts w:eastAsia="SimSun"/>
                <w:sz w:val="24"/>
                <w:szCs w:val="24"/>
              </w:rPr>
              <w:t>4-5 dB</w:t>
            </w:r>
          </w:p>
        </w:tc>
        <w:tc>
          <w:tcPr>
            <w:tcW w:w="1584" w:type="dxa"/>
            <w:shd w:val="clear" w:color="auto" w:fill="auto"/>
          </w:tcPr>
          <w:p w14:paraId="4D7E86BB">
            <w:pPr>
              <w:jc w:val="both"/>
              <w:rPr>
                <w:rFonts w:eastAsia="SimSun"/>
                <w:sz w:val="24"/>
                <w:szCs w:val="24"/>
              </w:rPr>
            </w:pPr>
            <w:r>
              <w:rPr>
                <w:rFonts w:eastAsia="SimSun"/>
                <w:sz w:val="24"/>
                <w:szCs w:val="24"/>
              </w:rPr>
              <w:t>50%</w:t>
            </w:r>
          </w:p>
        </w:tc>
      </w:tr>
    </w:tbl>
    <w:p w14:paraId="35059749">
      <w:pPr>
        <w:jc w:val="both"/>
        <w:rPr>
          <w:rFonts w:ascii="Times New Roman" w:hAnsi="Times New Roman" w:eastAsia="Times New Roman" w:cs="Times New Roman"/>
          <w:b w:val="0"/>
          <w:bCs w:val="0"/>
          <w:i w:val="0"/>
          <w:iCs w:val="0"/>
          <w:sz w:val="20"/>
          <w:szCs w:val="20"/>
          <w:lang w:val="en-GB"/>
        </w:rPr>
      </w:pPr>
    </w:p>
    <w:p w14:paraId="4D9D29C5">
      <w:pPr>
        <w:spacing w:before="120" w:beforeAutospacing="0" w:after="0" w:afterAutospacing="0"/>
        <w:jc w:val="both"/>
        <w:rPr>
          <w:rFonts w:ascii="Times New Roman" w:hAnsi="Times New Roman" w:eastAsia="Times New Roman" w:cs="Times New Roman"/>
          <w:b/>
          <w:bCs/>
          <w:i/>
          <w:iCs/>
          <w:sz w:val="24"/>
          <w:szCs w:val="24"/>
          <w:lang w:val="en-GB"/>
        </w:rPr>
      </w:pPr>
      <w:r>
        <w:rPr>
          <w:rFonts w:ascii="Times New Roman" w:hAnsi="Times New Roman" w:eastAsia="Times New Roman" w:cs="Times New Roman"/>
          <w:b/>
          <w:bCs/>
          <w:i/>
          <w:iCs/>
          <w:sz w:val="24"/>
          <w:szCs w:val="24"/>
          <w:lang w:val="en-GB"/>
        </w:rPr>
        <w:t>Observation 5 - LTE convolutional codes with rate 1/3 provides 6-7 dB gain when compared to the uncoded systems. Moreover, the rate 1/3 code can be punctured to rate ½ code which can be utilised in scenarios where prioritising throughput is more critical than the error correction performance.</w:t>
      </w:r>
    </w:p>
    <w:p w14:paraId="748B4EB2">
      <w:pPr>
        <w:spacing w:before="120" w:beforeAutospacing="0" w:after="0" w:afterAutospacing="0"/>
        <w:jc w:val="both"/>
        <w:rPr>
          <w:rFonts w:ascii="Times New Roman" w:hAnsi="Times New Roman" w:eastAsia="Times New Roman" w:cs="Times New Roman"/>
          <w:b/>
          <w:bCs/>
          <w:i/>
          <w:iCs/>
          <w:sz w:val="24"/>
          <w:szCs w:val="24"/>
          <w:lang w:val="en-GB"/>
        </w:rPr>
      </w:pPr>
      <w:r>
        <w:rPr>
          <w:rFonts w:ascii="Times New Roman" w:hAnsi="Times New Roman" w:eastAsia="Times New Roman" w:cs="Times New Roman"/>
          <w:b/>
          <w:bCs/>
          <w:i/>
          <w:iCs/>
          <w:sz w:val="24"/>
          <w:szCs w:val="24"/>
          <w:lang w:val="en-GB"/>
        </w:rPr>
        <w:t>Proposal 5 - For the D2R transmission of Ambient IoT, LTE convolutional codes with rate 1/3 is supported for D2R FEC.</w:t>
      </w:r>
    </w:p>
    <w:p w14:paraId="12407D70">
      <w:pPr>
        <w:spacing w:before="120" w:beforeAutospacing="0" w:after="0" w:afterAutospacing="0"/>
        <w:jc w:val="both"/>
        <w:rPr>
          <w:rFonts w:ascii="Times New Roman" w:hAnsi="Times New Roman" w:eastAsia="Times New Roman" w:cs="Times New Roman"/>
          <w:b/>
          <w:bCs/>
          <w:i/>
          <w:iCs/>
          <w:sz w:val="24"/>
          <w:szCs w:val="24"/>
          <w:lang w:val="en-GB"/>
        </w:rPr>
      </w:pPr>
    </w:p>
    <w:p w14:paraId="5942A4A9">
      <w:pPr>
        <w:spacing w:before="120" w:beforeAutospacing="0" w:after="0" w:afterAutospacing="0"/>
        <w:jc w:val="both"/>
        <w:rPr>
          <w:rFonts w:ascii="Times New Roman" w:hAnsi="Times New Roman" w:eastAsia="Times New Roman" w:cs="Times New Roman"/>
          <w:b/>
          <w:bCs/>
          <w:i w:val="0"/>
          <w:iCs w:val="0"/>
          <w:sz w:val="24"/>
          <w:szCs w:val="24"/>
          <w:lang w:val="en-GB"/>
        </w:rPr>
      </w:pPr>
      <w:r>
        <w:rPr>
          <w:rFonts w:ascii="Times New Roman" w:hAnsi="Times New Roman" w:eastAsia="Times New Roman" w:cs="Times New Roman"/>
          <w:b/>
          <w:bCs/>
          <w:i w:val="0"/>
          <w:iCs w:val="0"/>
          <w:sz w:val="24"/>
          <w:szCs w:val="24"/>
          <w:lang w:val="en-GB"/>
        </w:rPr>
        <w:t>BLOCK CODES</w:t>
      </w:r>
    </w:p>
    <w:p w14:paraId="6A7AD914">
      <w:pPr>
        <w:spacing w:before="120" w:beforeAutospacing="0" w:after="0" w:afterAutospacing="0"/>
        <w:jc w:val="both"/>
        <w:rPr>
          <w:rFonts w:ascii="Times New Roman" w:hAnsi="Times New Roman" w:eastAsia="Times New Roman" w:cs="Times New Roman"/>
          <w:strike w:val="0"/>
          <w:dstrike w:val="0"/>
          <w:sz w:val="24"/>
          <w:szCs w:val="24"/>
          <w:u w:val="none"/>
          <w:lang w:val="en-GB"/>
        </w:rPr>
      </w:pPr>
      <w:r>
        <w:rPr>
          <w:rFonts w:ascii="Times New Roman" w:hAnsi="Times New Roman" w:eastAsia="Times New Roman" w:cs="Times New Roman"/>
          <w:strike w:val="0"/>
          <w:dstrike w:val="0"/>
          <w:sz w:val="24"/>
          <w:szCs w:val="24"/>
          <w:u w:val="none"/>
          <w:lang w:val="en-GB"/>
        </w:rPr>
        <w:t>Block codes also offer several advantages. They utilize less complex algorithms and are easier to implement, particularly in systems with limited resources. Additionally, block codes do not depend on past transmission states, which simplifies their management in environments with minimal memory. They allow for faster decoding due to their simpler processing, making them suitable for low-latency applications. Furthermore, they require less processing power, which is advantageous for resource-constrained environments.</w:t>
      </w:r>
    </w:p>
    <w:p w14:paraId="165B96D3">
      <w:pPr>
        <w:spacing w:before="120" w:beforeAutospacing="0" w:after="0" w:afterAutospacing="0"/>
        <w:jc w:val="both"/>
        <w:rPr>
          <w:rFonts w:ascii="Times New Roman" w:hAnsi="Times New Roman" w:eastAsia="Times New Roman" w:cs="Times New Roman"/>
          <w:b/>
          <w:bCs/>
          <w:i/>
          <w:iCs/>
          <w:sz w:val="24"/>
          <w:szCs w:val="24"/>
          <w:lang w:val="en-GB"/>
        </w:rPr>
      </w:pPr>
      <w:r>
        <w:rPr>
          <w:rFonts w:ascii="Times New Roman" w:hAnsi="Times New Roman" w:eastAsia="Times New Roman" w:cs="Times New Roman"/>
          <w:b/>
          <w:bCs/>
          <w:i/>
          <w:iCs/>
          <w:sz w:val="24"/>
          <w:szCs w:val="24"/>
          <w:lang w:val="en-GB"/>
        </w:rPr>
        <w:t>Observation 6 - Block codes tend to outperform convolutional codes in applications where simplicity, low computational overhead, and efficient error correction for burst errors are critical.</w:t>
      </w:r>
    </w:p>
    <w:p w14:paraId="642376FA">
      <w:pPr>
        <w:spacing w:before="120" w:beforeAutospacing="0" w:after="0" w:afterAutospacing="0"/>
        <w:jc w:val="both"/>
        <w:rPr>
          <w:rFonts w:ascii="Times New Roman" w:hAnsi="Times New Roman" w:eastAsia="Times New Roman" w:cs="Times New Roman"/>
          <w:b/>
          <w:bCs/>
          <w:i/>
          <w:iCs/>
          <w:sz w:val="24"/>
          <w:szCs w:val="24"/>
          <w:lang w:val="en-GB"/>
        </w:rPr>
      </w:pPr>
      <w:r>
        <w:rPr>
          <w:rFonts w:ascii="Times New Roman" w:hAnsi="Times New Roman" w:eastAsia="Times New Roman" w:cs="Times New Roman"/>
          <w:b/>
          <w:bCs/>
          <w:i/>
          <w:iCs/>
          <w:sz w:val="24"/>
          <w:szCs w:val="24"/>
          <w:lang w:val="en-GB"/>
        </w:rPr>
        <w:t xml:space="preserve">Proposal 6 </w:t>
      </w:r>
      <w:r>
        <w:rPr>
          <w:rFonts w:ascii="Times New Roman" w:hAnsi="Times New Roman" w:eastAsia="Times New Roman" w:cs="Times New Roman"/>
          <w:b w:val="0"/>
          <w:bCs w:val="0"/>
          <w:sz w:val="24"/>
          <w:szCs w:val="24"/>
          <w:lang w:val="en-GB"/>
        </w:rPr>
        <w:t xml:space="preserve">- </w:t>
      </w:r>
      <w:r>
        <w:rPr>
          <w:rFonts w:ascii="Times New Roman" w:hAnsi="Times New Roman" w:eastAsia="Times New Roman" w:cs="Times New Roman"/>
          <w:b/>
          <w:bCs/>
          <w:i/>
          <w:iCs/>
          <w:sz w:val="24"/>
          <w:szCs w:val="24"/>
          <w:lang w:val="en-GB"/>
        </w:rPr>
        <w:t>For the D2R transmission of Ambient IoT, Block Codes are also supported for D2R FEC.</w:t>
      </w:r>
    </w:p>
    <w:p w14:paraId="5AF773D7">
      <w:pPr>
        <w:spacing w:before="120" w:beforeAutospacing="0" w:after="0" w:afterAutospacing="0"/>
        <w:jc w:val="both"/>
        <w:rPr>
          <w:rFonts w:ascii="Times New Roman" w:hAnsi="Times New Roman" w:eastAsia="Times New Roman" w:cs="Times New Roman"/>
          <w:b/>
          <w:bCs/>
          <w:i/>
          <w:iCs/>
          <w:sz w:val="24"/>
          <w:szCs w:val="24"/>
          <w:lang w:val="en-GB"/>
        </w:rPr>
      </w:pPr>
    </w:p>
    <w:p w14:paraId="12CA3EFE">
      <w:pPr>
        <w:jc w:val="both"/>
        <w:rPr>
          <w:b w:val="0"/>
          <w:bCs w:val="0"/>
          <w:sz w:val="24"/>
          <w:szCs w:val="24"/>
        </w:rPr>
      </w:pPr>
      <w:r>
        <w:rPr>
          <w:b/>
          <w:bCs/>
          <w:sz w:val="24"/>
          <w:szCs w:val="24"/>
        </w:rPr>
        <w:t xml:space="preserve">2.6 D2R Repetition – </w:t>
      </w:r>
      <w:r>
        <w:rPr>
          <w:b w:val="0"/>
          <w:bCs w:val="0"/>
          <w:sz w:val="24"/>
          <w:szCs w:val="24"/>
        </w:rPr>
        <w:t>The below points were agreed upon in RAN 117 [4]:</w:t>
      </w:r>
    </w:p>
    <w:p w14:paraId="07F2D29B">
      <w:pPr>
        <w:spacing w:before="0" w:beforeAutospacing="0" w:after="0" w:afterAutospacing="0"/>
        <w:jc w:val="both"/>
      </w:pPr>
      <w:r>
        <w:rPr>
          <w:rFonts w:ascii="Times New Roman" w:hAnsi="Times New Roman" w:eastAsia="Times New Roman" w:cs="Times New Roman"/>
          <w:sz w:val="24"/>
          <w:szCs w:val="24"/>
          <w:lang w:val="en-GB"/>
        </w:rPr>
        <w:t>Define repetition types for study purposes as follows:</w:t>
      </w:r>
    </w:p>
    <w:p w14:paraId="2A106B54">
      <w:pPr>
        <w:pStyle w:val="33"/>
        <w:numPr>
          <w:ilvl w:val="0"/>
          <w:numId w:val="16"/>
        </w:numPr>
        <w:spacing w:before="0" w:beforeAutospacing="0" w:after="0" w:afterAutospacing="0"/>
        <w:ind w:left="720" w:hanging="360"/>
        <w:jc w:val="both"/>
        <w:rPr>
          <w:rFonts w:ascii="Times New Roman" w:hAnsi="Times New Roman" w:eastAsia="Times New Roman" w:cs="Times New Roman"/>
          <w:sz w:val="24"/>
          <w:szCs w:val="24"/>
          <w:lang w:val="en-GB"/>
        </w:rPr>
      </w:pPr>
      <w:r>
        <w:rPr>
          <w:rFonts w:ascii="Times New Roman" w:hAnsi="Times New Roman" w:eastAsia="Times New Roman" w:cs="Times New Roman"/>
          <w:sz w:val="24"/>
          <w:szCs w:val="24"/>
          <w:lang w:val="en-GB"/>
        </w:rPr>
        <w:t>Block level: All the bits received from higher layers and/or physical layer (according to what is present) after CRC attachment (if used) are blockwise repeated Rblock times</w:t>
      </w:r>
    </w:p>
    <w:p w14:paraId="40F78BA0">
      <w:pPr>
        <w:pStyle w:val="33"/>
        <w:numPr>
          <w:ilvl w:val="0"/>
          <w:numId w:val="16"/>
        </w:numPr>
        <w:spacing w:before="0" w:beforeAutospacing="0" w:after="0" w:afterAutospacing="0"/>
        <w:ind w:left="720" w:hanging="360"/>
        <w:jc w:val="both"/>
        <w:rPr>
          <w:rFonts w:ascii="Times New Roman" w:hAnsi="Times New Roman" w:eastAsia="Times New Roman" w:cs="Times New Roman"/>
          <w:sz w:val="24"/>
          <w:szCs w:val="24"/>
          <w:lang w:val="en-GB"/>
        </w:rPr>
      </w:pPr>
      <w:r>
        <w:rPr>
          <w:rFonts w:ascii="Times New Roman" w:hAnsi="Times New Roman" w:eastAsia="Times New Roman" w:cs="Times New Roman"/>
          <w:sz w:val="24"/>
          <w:szCs w:val="24"/>
          <w:lang w:val="en-GB"/>
        </w:rPr>
        <w:t>Bit level type 1: Each bit after CRC attachment (if used) is repeated Rbit times</w:t>
      </w:r>
    </w:p>
    <w:p w14:paraId="5992A357">
      <w:pPr>
        <w:pStyle w:val="33"/>
        <w:numPr>
          <w:ilvl w:val="0"/>
          <w:numId w:val="16"/>
        </w:numPr>
        <w:spacing w:before="0" w:beforeAutospacing="0" w:after="0" w:afterAutospacing="0"/>
        <w:ind w:left="720" w:hanging="360"/>
        <w:jc w:val="both"/>
        <w:rPr>
          <w:rFonts w:ascii="Times New Roman" w:hAnsi="Times New Roman" w:eastAsia="Times New Roman" w:cs="Times New Roman"/>
          <w:sz w:val="24"/>
          <w:szCs w:val="24"/>
          <w:lang w:val="en-GB"/>
        </w:rPr>
      </w:pPr>
      <w:r>
        <w:rPr>
          <w:rFonts w:ascii="Times New Roman" w:hAnsi="Times New Roman" w:eastAsia="Times New Roman" w:cs="Times New Roman"/>
          <w:sz w:val="24"/>
          <w:szCs w:val="24"/>
          <w:lang w:val="en-GB"/>
        </w:rPr>
        <w:t>Bit level type 2: Each bit after both CRC attachment (if used) and FEC (if used) is repeated Rbit times</w:t>
      </w:r>
    </w:p>
    <w:p w14:paraId="76245767">
      <w:pPr>
        <w:pStyle w:val="33"/>
        <w:numPr>
          <w:ilvl w:val="0"/>
          <w:numId w:val="16"/>
        </w:numPr>
        <w:spacing w:before="0" w:beforeAutospacing="0" w:after="0" w:afterAutospacing="0"/>
        <w:ind w:left="720" w:hanging="360"/>
        <w:jc w:val="both"/>
        <w:rPr>
          <w:rFonts w:ascii="Times New Roman" w:hAnsi="Times New Roman" w:eastAsia="Times New Roman" w:cs="Times New Roman"/>
          <w:sz w:val="24"/>
          <w:szCs w:val="24"/>
          <w:lang w:val="en-GB"/>
        </w:rPr>
      </w:pPr>
      <w:r>
        <w:rPr>
          <w:rFonts w:ascii="Times New Roman" w:hAnsi="Times New Roman" w:eastAsia="Times New Roman" w:cs="Times New Roman"/>
          <w:sz w:val="24"/>
          <w:szCs w:val="24"/>
          <w:lang w:val="en-GB"/>
        </w:rPr>
        <w:t>Chip level: Each chip after line coding (if used) or after square wave modulation (if used) is repeated Rchip times</w:t>
      </w:r>
    </w:p>
    <w:p w14:paraId="594DBFC3">
      <w:pPr>
        <w:pStyle w:val="33"/>
        <w:numPr>
          <w:ilvl w:val="1"/>
          <w:numId w:val="16"/>
        </w:numPr>
        <w:spacing w:before="0" w:beforeAutospacing="0" w:after="0" w:afterAutospacing="0"/>
        <w:ind w:left="1440" w:hanging="360"/>
        <w:jc w:val="both"/>
        <w:rPr>
          <w:rFonts w:ascii="Times New Roman" w:hAnsi="Times New Roman" w:eastAsia="Times New Roman" w:cs="Times New Roman"/>
          <w:sz w:val="24"/>
          <w:szCs w:val="24"/>
          <w:lang w:val="en-GB"/>
        </w:rPr>
      </w:pPr>
      <w:r>
        <w:rPr>
          <w:rFonts w:ascii="Times New Roman" w:hAnsi="Times New Roman" w:eastAsia="Times New Roman" w:cs="Times New Roman"/>
          <w:sz w:val="24"/>
          <w:szCs w:val="24"/>
          <w:lang w:val="en-GB"/>
        </w:rPr>
        <w:t>NOTE: Equivalent to extending the duration of each chip by Rchip times</w:t>
      </w:r>
    </w:p>
    <w:p w14:paraId="00004D6C">
      <w:pPr>
        <w:spacing w:before="0" w:beforeAutospacing="0" w:after="0" w:afterAutospacing="0"/>
        <w:jc w:val="both"/>
        <w:rPr>
          <w:rFonts w:ascii="Times New Roman" w:hAnsi="Times New Roman" w:eastAsia="Times New Roman" w:cs="Times New Roman"/>
          <w:sz w:val="24"/>
          <w:szCs w:val="24"/>
          <w:highlight w:val="green"/>
          <w:lang w:val="en-GB"/>
        </w:rPr>
      </w:pPr>
    </w:p>
    <w:p w14:paraId="7D71302D">
      <w:pPr>
        <w:spacing w:before="0" w:beforeAutospacing="0" w:after="0" w:afterAutospacing="0"/>
        <w:jc w:val="both"/>
      </w:pPr>
      <w:r>
        <w:rPr>
          <w:rFonts w:ascii="Times New Roman" w:hAnsi="Times New Roman" w:eastAsia="Times New Roman" w:cs="Times New Roman"/>
          <w:sz w:val="24"/>
          <w:szCs w:val="24"/>
          <w:lang w:val="en-GB"/>
        </w:rPr>
        <w:t>For D2R, study at least block-level and bit-level repetition type 1 and type 2.</w:t>
      </w:r>
    </w:p>
    <w:p w14:paraId="4A0F354A">
      <w:pPr>
        <w:spacing w:before="120" w:beforeAutospacing="0" w:after="0" w:afterAutospacing="0"/>
        <w:jc w:val="both"/>
      </w:pPr>
    </w:p>
    <w:p w14:paraId="7B07C52D">
      <w:pPr>
        <w:spacing w:before="120" w:beforeAutospacing="0" w:after="0" w:afterAutospacing="0"/>
        <w:jc w:val="both"/>
      </w:pPr>
      <w:r>
        <w:drawing>
          <wp:inline distT="0" distB="0" distL="114300" distR="114300">
            <wp:extent cx="6257925" cy="552450"/>
            <wp:effectExtent l="0" t="0" r="0" b="0"/>
            <wp:docPr id="1777769581" name="Picture 1777769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7769581" name="Picture 1777769581"/>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6257925" cy="552450"/>
                    </a:xfrm>
                    <a:prstGeom prst="rect">
                      <a:avLst/>
                    </a:prstGeom>
                  </pic:spPr>
                </pic:pic>
              </a:graphicData>
            </a:graphic>
          </wp:inline>
        </w:drawing>
      </w:r>
    </w:p>
    <w:p w14:paraId="76D99523">
      <w:pPr>
        <w:spacing w:before="120" w:beforeAutospacing="0" w:after="0" w:afterAutospacing="0"/>
        <w:jc w:val="both"/>
      </w:pPr>
      <w:r>
        <w:t xml:space="preserve">                                                                    </w:t>
      </w:r>
      <w:r>
        <w:rPr>
          <w:sz w:val="24"/>
          <w:szCs w:val="24"/>
        </w:rPr>
        <w:t>Fig 10. Block Level Repetition</w:t>
      </w:r>
      <w:r>
        <w:t xml:space="preserve">                </w:t>
      </w:r>
    </w:p>
    <w:p w14:paraId="0897B3AD">
      <w:pPr>
        <w:spacing w:before="120" w:beforeAutospacing="0" w:after="0" w:afterAutospacing="0"/>
        <w:jc w:val="both"/>
      </w:pPr>
      <w:r>
        <w:drawing>
          <wp:inline distT="0" distB="0" distL="114300" distR="114300">
            <wp:extent cx="6257925" cy="542925"/>
            <wp:effectExtent l="0" t="0" r="0" b="0"/>
            <wp:docPr id="1653708755" name="Picture 1653708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708755" name="Picture 1653708755"/>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6257925" cy="542925"/>
                    </a:xfrm>
                    <a:prstGeom prst="rect">
                      <a:avLst/>
                    </a:prstGeom>
                  </pic:spPr>
                </pic:pic>
              </a:graphicData>
            </a:graphic>
          </wp:inline>
        </w:drawing>
      </w:r>
    </w:p>
    <w:p w14:paraId="182B5D07">
      <w:pPr>
        <w:spacing w:before="120" w:beforeAutospacing="0" w:after="0" w:afterAutospacing="0"/>
        <w:jc w:val="both"/>
      </w:pPr>
      <w:r>
        <w:t xml:space="preserve">                                                                  </w:t>
      </w:r>
      <w:r>
        <w:rPr>
          <w:sz w:val="24"/>
          <w:szCs w:val="24"/>
        </w:rPr>
        <w:t>Fig 11. Bit Level Repetition – Type 1</w:t>
      </w:r>
    </w:p>
    <w:p w14:paraId="180C13C0">
      <w:pPr>
        <w:spacing w:before="120" w:beforeAutospacing="0" w:after="0" w:afterAutospacing="0"/>
        <w:jc w:val="both"/>
      </w:pPr>
      <w:r>
        <w:drawing>
          <wp:inline distT="0" distB="0" distL="114300" distR="114300">
            <wp:extent cx="6257925" cy="571500"/>
            <wp:effectExtent l="0" t="0" r="0" b="0"/>
            <wp:docPr id="1042755722" name="Picture 1042755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2755722" name="Picture 1042755722"/>
                    <pic:cNvPicPr>
                      <a:picLocks noChangeAspect="1"/>
                    </pic:cNvPicPr>
                  </pic:nvPicPr>
                  <pic:blipFill>
                    <a:blip r:embed="rId19">
                      <a:extLst>
                        <a:ext uri="{28A0092B-C50C-407E-A947-70E740481C1C}">
                          <a14:useLocalDpi xmlns:a14="http://schemas.microsoft.com/office/drawing/2010/main" val="0"/>
                        </a:ext>
                      </a:extLst>
                    </a:blip>
                    <a:stretch>
                      <a:fillRect/>
                    </a:stretch>
                  </pic:blipFill>
                  <pic:spPr>
                    <a:xfrm>
                      <a:off x="0" y="0"/>
                      <a:ext cx="6257925" cy="571500"/>
                    </a:xfrm>
                    <a:prstGeom prst="rect">
                      <a:avLst/>
                    </a:prstGeom>
                  </pic:spPr>
                </pic:pic>
              </a:graphicData>
            </a:graphic>
          </wp:inline>
        </w:drawing>
      </w:r>
    </w:p>
    <w:p w14:paraId="35DCC141">
      <w:pPr>
        <w:spacing w:before="120" w:beforeAutospacing="0" w:after="0" w:afterAutospacing="0"/>
        <w:jc w:val="both"/>
      </w:pPr>
      <w:r>
        <w:t xml:space="preserve">                                                                 </w:t>
      </w:r>
      <w:r>
        <w:rPr>
          <w:sz w:val="24"/>
          <w:szCs w:val="24"/>
        </w:rPr>
        <w:t>Fig 12. Bit Level Repetition – Type 2</w:t>
      </w:r>
    </w:p>
    <w:p w14:paraId="335AD3BF">
      <w:pPr>
        <w:spacing w:before="120" w:beforeAutospacing="0" w:after="0" w:afterAutospacing="0"/>
        <w:jc w:val="both"/>
      </w:pPr>
    </w:p>
    <w:p w14:paraId="601DBD28">
      <w:pPr>
        <w:spacing w:before="120" w:beforeAutospacing="0" w:after="0" w:afterAutospacing="0"/>
        <w:jc w:val="both"/>
      </w:pPr>
      <w:r>
        <w:rPr>
          <w:rFonts w:ascii="Times New Roman" w:hAnsi="Times New Roman" w:eastAsia="Times New Roman" w:cs="Times New Roman"/>
          <w:strike w:val="0"/>
          <w:dstrike w:val="0"/>
          <w:sz w:val="24"/>
          <w:szCs w:val="24"/>
          <w:u w:val="none"/>
          <w:lang w:val="en-GB"/>
        </w:rPr>
        <w:t>The block repetition method offers the benefits of both time diversity gain and combining gain, resulting in superior performance compared to bit repetition methods. Among the bit repetition types, type 2 has the advantage that the bits are soft combined before being sent to the forward error correction (FEC) decoder. Consequently, it performs better than bit repetition type 1.</w:t>
      </w:r>
      <w:r>
        <w:rPr>
          <w:rFonts w:ascii="Times New Roman" w:hAnsi="Times New Roman" w:eastAsia="Times New Roman" w:cs="Times New Roman"/>
          <w:strike w:val="0"/>
          <w:dstrike w:val="0"/>
          <w:sz w:val="20"/>
          <w:szCs w:val="20"/>
          <w:u w:val="none"/>
          <w:lang w:val="en-GB"/>
        </w:rPr>
        <w:t xml:space="preserve"> </w:t>
      </w:r>
    </w:p>
    <w:p w14:paraId="5A68C990">
      <w:pPr>
        <w:spacing w:before="120" w:beforeAutospacing="0" w:after="0" w:afterAutospacing="0"/>
        <w:jc w:val="both"/>
        <w:rPr>
          <w:rFonts w:ascii="Times New Roman" w:hAnsi="Times New Roman" w:eastAsia="Times New Roman" w:cs="Times New Roman"/>
          <w:strike w:val="0"/>
          <w:dstrike w:val="0"/>
          <w:sz w:val="24"/>
          <w:szCs w:val="24"/>
          <w:u w:val="none"/>
          <w:lang w:val="en-GB"/>
        </w:rPr>
      </w:pPr>
      <w:r>
        <w:rPr>
          <w:rFonts w:ascii="Times New Roman" w:hAnsi="Times New Roman" w:eastAsia="Times New Roman" w:cs="Times New Roman"/>
          <w:strike w:val="0"/>
          <w:dstrike w:val="0"/>
          <w:sz w:val="24"/>
          <w:szCs w:val="24"/>
          <w:u w:val="none"/>
          <w:lang w:val="en-GB"/>
        </w:rPr>
        <w:t>We recommend using the block repetition method, but with FEC first followed by block repetition as illustrated in Fig. 13. This approach allows us to achieve both time diversity and enables the bits in the block to be soft combined before being processed by the FEC decoder.</w:t>
      </w:r>
    </w:p>
    <w:p w14:paraId="1A202DD9">
      <w:pPr>
        <w:spacing w:before="120" w:beforeAutospacing="0" w:after="0" w:afterAutospacing="0"/>
        <w:jc w:val="both"/>
        <w:rPr>
          <w:rFonts w:ascii="Times New Roman" w:hAnsi="Times New Roman" w:eastAsia="Times New Roman" w:cs="Times New Roman"/>
          <w:strike w:val="0"/>
          <w:dstrike w:val="0"/>
          <w:sz w:val="24"/>
          <w:szCs w:val="24"/>
          <w:u w:val="none"/>
          <w:lang w:val="en-GB"/>
        </w:rPr>
      </w:pPr>
    </w:p>
    <w:p w14:paraId="4F85B334">
      <w:pPr>
        <w:spacing w:before="120" w:beforeAutospacing="0" w:after="0" w:afterAutospacing="0"/>
        <w:jc w:val="both"/>
        <w:rPr>
          <w:sz w:val="24"/>
          <w:szCs w:val="24"/>
        </w:rPr>
      </w:pPr>
      <w:r>
        <w:drawing>
          <wp:inline distT="0" distB="0" distL="114300" distR="114300">
            <wp:extent cx="6257925" cy="638175"/>
            <wp:effectExtent l="0" t="0" r="0" b="0"/>
            <wp:docPr id="1493894240" name="Picture 1493894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3894240" name="Picture 1493894240"/>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0" y="0"/>
                      <a:ext cx="6257925" cy="638175"/>
                    </a:xfrm>
                    <a:prstGeom prst="rect">
                      <a:avLst/>
                    </a:prstGeom>
                  </pic:spPr>
                </pic:pic>
              </a:graphicData>
            </a:graphic>
          </wp:inline>
        </w:drawing>
      </w:r>
    </w:p>
    <w:p w14:paraId="28B45E78">
      <w:pPr>
        <w:spacing w:before="120" w:beforeAutospacing="0" w:after="0" w:afterAutospacing="0"/>
        <w:jc w:val="both"/>
        <w:rPr>
          <w:sz w:val="24"/>
          <w:szCs w:val="24"/>
        </w:rPr>
      </w:pPr>
      <w:r>
        <w:rPr>
          <w:sz w:val="24"/>
          <w:szCs w:val="24"/>
        </w:rPr>
        <w:t xml:space="preserve">                    Fig 13: Proposed Block Level Repetition (FEC first followed by Block Repetition) </w:t>
      </w:r>
    </w:p>
    <w:p w14:paraId="2046856B">
      <w:pPr>
        <w:spacing w:before="120" w:beforeAutospacing="0" w:after="0" w:afterAutospacing="0"/>
        <w:jc w:val="both"/>
        <w:rPr>
          <w:rFonts w:ascii="Times New Roman" w:hAnsi="Times New Roman" w:eastAsia="Times New Roman" w:cs="Times New Roman"/>
          <w:b/>
          <w:bCs/>
          <w:i/>
          <w:iCs/>
          <w:strike w:val="0"/>
          <w:dstrike w:val="0"/>
          <w:sz w:val="24"/>
          <w:szCs w:val="24"/>
          <w:u w:val="none"/>
          <w:lang w:val="en-GB"/>
        </w:rPr>
      </w:pPr>
      <w:r>
        <w:rPr>
          <w:rFonts w:ascii="Times New Roman" w:hAnsi="Times New Roman" w:eastAsia="Times New Roman" w:cs="Times New Roman"/>
          <w:b/>
          <w:bCs/>
          <w:i/>
          <w:iCs/>
          <w:strike w:val="0"/>
          <w:dstrike w:val="0"/>
          <w:sz w:val="24"/>
          <w:szCs w:val="24"/>
          <w:u w:val="none"/>
          <w:lang w:val="en-GB"/>
        </w:rPr>
        <w:t>Observation 7 - For D2R Repetition, forward error correction (FEC) followed by block repetition provides advantages of time diversity and soft combining gain prior to the FEC decoder.</w:t>
      </w:r>
    </w:p>
    <w:p w14:paraId="228E9960">
      <w:pPr>
        <w:spacing w:before="120" w:beforeAutospacing="0" w:after="0" w:afterAutospacing="0"/>
        <w:jc w:val="both"/>
        <w:rPr>
          <w:rFonts w:ascii="Times New Roman" w:hAnsi="Times New Roman" w:eastAsia="Times New Roman" w:cs="Times New Roman"/>
          <w:b/>
          <w:bCs/>
          <w:i/>
          <w:iCs/>
          <w:strike w:val="0"/>
          <w:dstrike w:val="0"/>
          <w:sz w:val="24"/>
          <w:szCs w:val="24"/>
          <w:u w:val="none"/>
          <w:lang w:val="en-GB"/>
        </w:rPr>
      </w:pPr>
      <w:r>
        <w:rPr>
          <w:rFonts w:ascii="Times New Roman" w:hAnsi="Times New Roman" w:eastAsia="Times New Roman" w:cs="Times New Roman"/>
          <w:b/>
          <w:bCs/>
          <w:i/>
          <w:iCs/>
          <w:strike w:val="0"/>
          <w:dstrike w:val="0"/>
          <w:sz w:val="24"/>
          <w:szCs w:val="24"/>
          <w:u w:val="none"/>
          <w:lang w:val="en-GB"/>
        </w:rPr>
        <w:t xml:space="preserve"> Proposal 7 - For D2R Repetition, FEC followed by block repetition is supported.</w:t>
      </w:r>
    </w:p>
    <w:p w14:paraId="4D4C078F">
      <w:pPr>
        <w:spacing w:before="120" w:beforeAutospacing="0" w:after="0" w:afterAutospacing="0"/>
        <w:jc w:val="both"/>
        <w:rPr>
          <w:rFonts w:ascii="Times New Roman" w:hAnsi="Times New Roman" w:eastAsia="Times New Roman" w:cs="Times New Roman"/>
          <w:strike w:val="0"/>
          <w:dstrike w:val="0"/>
          <w:sz w:val="24"/>
          <w:szCs w:val="24"/>
          <w:u w:val="none"/>
          <w:lang w:val="en-GB"/>
        </w:rPr>
      </w:pPr>
    </w:p>
    <w:p w14:paraId="7314A679">
      <w:pPr>
        <w:spacing w:before="0" w:beforeAutospacing="0" w:after="240" w:afterAutospacing="0"/>
        <w:jc w:val="both"/>
      </w:pPr>
      <w:r>
        <w:rPr>
          <w:rFonts w:ascii="Times New Roman" w:hAnsi="Times New Roman" w:eastAsia="Times New Roman" w:cs="Times New Roman"/>
          <w:b/>
          <w:bCs/>
          <w:sz w:val="24"/>
          <w:szCs w:val="24"/>
          <w:lang w:val="en-GB"/>
        </w:rPr>
        <w:t>Interleaving</w:t>
      </w:r>
      <w:r>
        <w:rPr>
          <w:rFonts w:ascii="Times New Roman" w:hAnsi="Times New Roman" w:eastAsia="Times New Roman" w:cs="Times New Roman"/>
          <w:sz w:val="24"/>
          <w:szCs w:val="24"/>
          <w:lang w:val="en-GB"/>
        </w:rPr>
        <w:t xml:space="preserve"> is a powerful technique for improving the reliability and efficiency of modern communication systems. By spreading out errors (particularly burst errors), it makes the data more amenable to error correction, which leads to lower error rates and better overall system performance. This is especially critical in environments with </w:t>
      </w:r>
      <w:r>
        <w:rPr>
          <w:rFonts w:ascii="Times New Roman" w:hAnsi="Times New Roman" w:eastAsia="Times New Roman" w:cs="Times New Roman"/>
          <w:b/>
          <w:bCs/>
          <w:sz w:val="24"/>
          <w:szCs w:val="24"/>
          <w:lang w:val="en-GB"/>
        </w:rPr>
        <w:t>fading</w:t>
      </w:r>
      <w:r>
        <w:rPr>
          <w:rFonts w:ascii="Times New Roman" w:hAnsi="Times New Roman" w:eastAsia="Times New Roman" w:cs="Times New Roman"/>
          <w:sz w:val="24"/>
          <w:szCs w:val="24"/>
          <w:lang w:val="en-GB"/>
        </w:rPr>
        <w:t xml:space="preserve">, </w:t>
      </w:r>
      <w:r>
        <w:rPr>
          <w:rFonts w:ascii="Times New Roman" w:hAnsi="Times New Roman" w:eastAsia="Times New Roman" w:cs="Times New Roman"/>
          <w:b/>
          <w:bCs/>
          <w:sz w:val="24"/>
          <w:szCs w:val="24"/>
          <w:lang w:val="en-GB"/>
        </w:rPr>
        <w:t>interference</w:t>
      </w:r>
      <w:r>
        <w:rPr>
          <w:rFonts w:ascii="Times New Roman" w:hAnsi="Times New Roman" w:eastAsia="Times New Roman" w:cs="Times New Roman"/>
          <w:sz w:val="24"/>
          <w:szCs w:val="24"/>
          <w:lang w:val="en-GB"/>
        </w:rPr>
        <w:t xml:space="preserve">, and </w:t>
      </w:r>
      <w:r>
        <w:rPr>
          <w:rFonts w:ascii="Times New Roman" w:hAnsi="Times New Roman" w:eastAsia="Times New Roman" w:cs="Times New Roman"/>
          <w:b/>
          <w:bCs/>
          <w:sz w:val="24"/>
          <w:szCs w:val="24"/>
          <w:lang w:val="en-GB"/>
        </w:rPr>
        <w:t>burst errors</w:t>
      </w:r>
      <w:r>
        <w:rPr>
          <w:rFonts w:ascii="Times New Roman" w:hAnsi="Times New Roman" w:eastAsia="Times New Roman" w:cs="Times New Roman"/>
          <w:sz w:val="24"/>
          <w:szCs w:val="24"/>
          <w:lang w:val="en-GB"/>
        </w:rPr>
        <w:t>, which are common in wireless communication channels.</w:t>
      </w:r>
    </w:p>
    <w:p w14:paraId="5CDFFC91">
      <w:pPr>
        <w:suppressLineNumbers w:val="0"/>
        <w:bidi w:val="0"/>
        <w:spacing w:before="240" w:beforeAutospacing="0" w:after="240" w:afterAutospacing="0" w:line="259" w:lineRule="auto"/>
        <w:ind w:left="0" w:right="0"/>
        <w:jc w:val="both"/>
      </w:pPr>
      <w:r>
        <w:rPr>
          <w:rFonts w:ascii="Times New Roman" w:hAnsi="Times New Roman" w:eastAsia="Times New Roman" w:cs="Times New Roman"/>
          <w:sz w:val="24"/>
          <w:szCs w:val="24"/>
          <w:lang w:val="en-GB"/>
        </w:rPr>
        <w:t>Interleaving has the following advantages.</w:t>
      </w:r>
    </w:p>
    <w:p w14:paraId="776E7012">
      <w:pPr>
        <w:pStyle w:val="33"/>
        <w:numPr>
          <w:ilvl w:val="0"/>
          <w:numId w:val="17"/>
        </w:numPr>
        <w:spacing w:before="0" w:beforeAutospacing="0" w:after="0" w:afterAutospacing="0"/>
        <w:jc w:val="both"/>
        <w:rPr>
          <w:rFonts w:ascii="Times New Roman" w:hAnsi="Times New Roman" w:eastAsia="Times New Roman" w:cs="Times New Roman"/>
          <w:sz w:val="24"/>
          <w:szCs w:val="24"/>
          <w:lang w:val="en-GB"/>
        </w:rPr>
      </w:pPr>
      <w:r>
        <w:rPr>
          <w:rFonts w:ascii="Times New Roman" w:hAnsi="Times New Roman" w:eastAsia="Times New Roman" w:cs="Times New Roman"/>
          <w:sz w:val="24"/>
          <w:szCs w:val="24"/>
          <w:lang w:val="en-GB"/>
        </w:rPr>
        <w:t>Reduces the impact of burst errors.</w:t>
      </w:r>
    </w:p>
    <w:p w14:paraId="69CEAF8A">
      <w:pPr>
        <w:pStyle w:val="33"/>
        <w:numPr>
          <w:ilvl w:val="0"/>
          <w:numId w:val="17"/>
        </w:numPr>
        <w:spacing w:before="0" w:beforeAutospacing="0" w:after="0" w:afterAutospacing="0"/>
        <w:jc w:val="both"/>
        <w:rPr>
          <w:rFonts w:ascii="Times New Roman" w:hAnsi="Times New Roman" w:eastAsia="Times New Roman" w:cs="Times New Roman"/>
          <w:sz w:val="24"/>
          <w:szCs w:val="24"/>
          <w:lang w:val="en-GB"/>
        </w:rPr>
      </w:pPr>
      <w:r>
        <w:rPr>
          <w:rFonts w:ascii="Times New Roman" w:hAnsi="Times New Roman" w:eastAsia="Times New Roman" w:cs="Times New Roman"/>
          <w:sz w:val="24"/>
          <w:szCs w:val="24"/>
          <w:lang w:val="en-GB"/>
        </w:rPr>
        <w:t>Improves the performance of error-correcting codes.</w:t>
      </w:r>
    </w:p>
    <w:p w14:paraId="0802D828">
      <w:pPr>
        <w:pStyle w:val="33"/>
        <w:numPr>
          <w:ilvl w:val="0"/>
          <w:numId w:val="17"/>
        </w:numPr>
        <w:spacing w:before="0" w:beforeAutospacing="0" w:after="0" w:afterAutospacing="0"/>
        <w:jc w:val="both"/>
        <w:rPr>
          <w:rFonts w:ascii="Times New Roman" w:hAnsi="Times New Roman" w:eastAsia="Times New Roman" w:cs="Times New Roman"/>
          <w:sz w:val="24"/>
          <w:szCs w:val="24"/>
          <w:lang w:val="en-GB"/>
        </w:rPr>
      </w:pPr>
      <w:r>
        <w:rPr>
          <w:rFonts w:ascii="Times New Roman" w:hAnsi="Times New Roman" w:eastAsia="Times New Roman" w:cs="Times New Roman"/>
          <w:sz w:val="24"/>
          <w:szCs w:val="24"/>
          <w:lang w:val="en-GB"/>
        </w:rPr>
        <w:t>Increases robustness against channel impairments (like fading and interference).</w:t>
      </w:r>
    </w:p>
    <w:p w14:paraId="3BE12879">
      <w:pPr>
        <w:pStyle w:val="33"/>
        <w:numPr>
          <w:ilvl w:val="0"/>
          <w:numId w:val="17"/>
        </w:numPr>
        <w:spacing w:before="0" w:beforeAutospacing="0" w:after="0" w:afterAutospacing="0"/>
        <w:jc w:val="both"/>
        <w:rPr>
          <w:rFonts w:ascii="Times New Roman" w:hAnsi="Times New Roman" w:eastAsia="Times New Roman" w:cs="Times New Roman"/>
          <w:sz w:val="24"/>
          <w:szCs w:val="24"/>
          <w:lang w:val="en-GB"/>
        </w:rPr>
      </w:pPr>
      <w:r>
        <w:rPr>
          <w:rFonts w:ascii="Times New Roman" w:hAnsi="Times New Roman" w:eastAsia="Times New Roman" w:cs="Times New Roman"/>
          <w:sz w:val="24"/>
          <w:szCs w:val="24"/>
          <w:lang w:val="en-GB"/>
        </w:rPr>
        <w:t>Helps in mitigating temporal and spatial error correlations.</w:t>
      </w:r>
    </w:p>
    <w:p w14:paraId="032AAAFA">
      <w:pPr>
        <w:spacing w:before="120" w:beforeAutospacing="0" w:after="0" w:afterAutospacing="0"/>
        <w:jc w:val="both"/>
        <w:rPr>
          <w:rFonts w:ascii="Times New Roman" w:hAnsi="Times New Roman" w:eastAsia="Times New Roman" w:cs="Times New Roman"/>
          <w:strike w:val="0"/>
          <w:dstrike w:val="0"/>
          <w:sz w:val="24"/>
          <w:szCs w:val="24"/>
          <w:u w:val="none"/>
          <w:lang w:val="en-GB"/>
        </w:rPr>
      </w:pPr>
    </w:p>
    <w:p w14:paraId="1DEEAE4C">
      <w:pPr>
        <w:spacing w:before="120" w:beforeAutospacing="0" w:after="0" w:afterAutospacing="0"/>
        <w:jc w:val="both"/>
        <w:rPr>
          <w:rFonts w:ascii="Times New Roman" w:hAnsi="Times New Roman" w:eastAsia="Times New Roman" w:cs="Times New Roman"/>
          <w:b/>
          <w:bCs/>
          <w:i/>
          <w:iCs/>
          <w:strike w:val="0"/>
          <w:dstrike w:val="0"/>
          <w:sz w:val="24"/>
          <w:szCs w:val="24"/>
          <w:u w:val="none"/>
          <w:lang w:val="en-GB"/>
        </w:rPr>
      </w:pPr>
      <w:r>
        <w:rPr>
          <w:rFonts w:ascii="Times New Roman" w:hAnsi="Times New Roman" w:eastAsia="Times New Roman" w:cs="Times New Roman"/>
          <w:b/>
          <w:bCs/>
          <w:i/>
          <w:iCs/>
          <w:strike w:val="0"/>
          <w:dstrike w:val="0"/>
          <w:sz w:val="24"/>
          <w:szCs w:val="24"/>
          <w:u w:val="none"/>
          <w:lang w:val="en-GB"/>
        </w:rPr>
        <w:t>Observation 8 - For D2R, interleaving helps to improve the reliability and efficiency of the system as it reduces the burst errors, improves the performance of the FEC decoder and increases robustness against channel fading.</w:t>
      </w:r>
    </w:p>
    <w:p w14:paraId="2AB95372">
      <w:pPr>
        <w:spacing w:before="120" w:beforeAutospacing="0" w:after="0" w:afterAutospacing="0"/>
        <w:jc w:val="both"/>
        <w:rPr>
          <w:rFonts w:ascii="Times New Roman" w:hAnsi="Times New Roman" w:eastAsia="Times New Roman" w:cs="Times New Roman"/>
          <w:b/>
          <w:bCs/>
          <w:i/>
          <w:iCs/>
          <w:strike w:val="0"/>
          <w:dstrike w:val="0"/>
          <w:sz w:val="24"/>
          <w:szCs w:val="24"/>
          <w:u w:val="none"/>
          <w:lang w:val="en-GB"/>
        </w:rPr>
      </w:pPr>
      <w:r>
        <w:rPr>
          <w:rFonts w:ascii="Times New Roman" w:hAnsi="Times New Roman" w:eastAsia="Times New Roman" w:cs="Times New Roman"/>
          <w:b/>
          <w:bCs/>
          <w:i/>
          <w:iCs/>
          <w:strike w:val="0"/>
          <w:dstrike w:val="0"/>
          <w:sz w:val="24"/>
          <w:szCs w:val="24"/>
          <w:u w:val="none"/>
          <w:lang w:val="en-GB"/>
        </w:rPr>
        <w:t xml:space="preserve"> Proposal 8- For D2R transmit and receive chain, interleaving and deinterleaving is supported.</w:t>
      </w:r>
    </w:p>
    <w:p w14:paraId="2EE96B73">
      <w:pPr>
        <w:spacing w:before="120" w:beforeAutospacing="0" w:after="0" w:afterAutospacing="0"/>
        <w:jc w:val="both"/>
        <w:rPr>
          <w:rFonts w:ascii="Times New Roman" w:hAnsi="Times New Roman" w:eastAsia="Times New Roman" w:cs="Times New Roman"/>
          <w:b/>
          <w:bCs/>
          <w:i/>
          <w:iCs/>
          <w:strike w:val="0"/>
          <w:dstrike w:val="0"/>
          <w:sz w:val="24"/>
          <w:szCs w:val="24"/>
          <w:u w:val="none"/>
          <w:lang w:val="en-GB"/>
        </w:rPr>
      </w:pPr>
    </w:p>
    <w:p w14:paraId="6CA45289">
      <w:pPr>
        <w:suppressLineNumbers w:val="0"/>
        <w:bidi w:val="0"/>
        <w:spacing w:before="0" w:beforeAutospacing="0" w:after="120" w:afterAutospacing="0" w:line="259" w:lineRule="auto"/>
        <w:ind w:left="0" w:right="0"/>
        <w:jc w:val="both"/>
        <w:rPr>
          <w:rFonts w:ascii="Times New Roman" w:hAnsi="Times New Roman" w:eastAsia="Times New Roman" w:cs="Times New Roman"/>
          <w:b/>
          <w:bCs/>
          <w:sz w:val="24"/>
          <w:szCs w:val="24"/>
          <w:lang w:val="en-GB"/>
        </w:rPr>
      </w:pPr>
      <w:r>
        <w:rPr>
          <w:rFonts w:ascii="Times New Roman" w:hAnsi="Times New Roman" w:eastAsia="Times New Roman" w:cs="Times New Roman"/>
          <w:b/>
          <w:bCs/>
          <w:sz w:val="24"/>
          <w:szCs w:val="24"/>
          <w:lang w:val="en-GB"/>
        </w:rPr>
        <w:t xml:space="preserve">2.7 CRC </w:t>
      </w:r>
      <w:r>
        <w:rPr>
          <w:rFonts w:ascii="Times New Roman" w:hAnsi="Times New Roman" w:eastAsia="Times New Roman" w:cs="Times New Roman"/>
          <w:b w:val="0"/>
          <w:bCs w:val="0"/>
          <w:sz w:val="24"/>
          <w:szCs w:val="24"/>
          <w:lang w:val="en-GB"/>
        </w:rPr>
        <w:t>The below points were agreed upon in RAN1#117 [4]</w:t>
      </w:r>
    </w:p>
    <w:p w14:paraId="7F4B7541">
      <w:pPr>
        <w:spacing w:before="220" w:beforeAutospacing="0" w:after="120" w:afterAutospacing="0"/>
        <w:jc w:val="both"/>
        <w:rPr>
          <w:rFonts w:ascii="Times New Roman" w:hAnsi="Times New Roman" w:eastAsia="Times New Roman" w:cs="Times New Roman"/>
          <w:sz w:val="24"/>
          <w:szCs w:val="24"/>
          <w:lang w:val="en-GB"/>
        </w:rPr>
      </w:pPr>
      <w:r>
        <w:rPr>
          <w:rFonts w:ascii="Times New Roman" w:hAnsi="Times New Roman" w:eastAsia="Times New Roman" w:cs="Times New Roman"/>
          <w:sz w:val="24"/>
          <w:szCs w:val="24"/>
          <w:lang w:val="en-GB"/>
        </w:rPr>
        <w:t>Study</w:t>
      </w:r>
    </w:p>
    <w:p w14:paraId="110F40FB">
      <w:pPr>
        <w:pStyle w:val="33"/>
        <w:numPr>
          <w:ilvl w:val="0"/>
          <w:numId w:val="18"/>
        </w:numPr>
        <w:spacing w:before="0" w:beforeAutospacing="0" w:after="0" w:afterAutospacing="0"/>
        <w:ind w:left="720" w:hanging="360"/>
        <w:jc w:val="left"/>
        <w:rPr>
          <w:rFonts w:ascii="Times New Roman" w:hAnsi="Times New Roman" w:eastAsia="Times New Roman" w:cs="Times New Roman"/>
          <w:sz w:val="24"/>
          <w:szCs w:val="24"/>
          <w:lang w:val="en-GB"/>
        </w:rPr>
      </w:pPr>
      <w:r>
        <w:rPr>
          <w:rFonts w:ascii="Times New Roman" w:hAnsi="Times New Roman" w:eastAsia="Times New Roman" w:cs="Times New Roman"/>
          <w:sz w:val="24"/>
          <w:szCs w:val="24"/>
          <w:lang w:val="en-GB"/>
        </w:rPr>
        <w:t>baseline: using 6 bits and 16 bits CRC with polynomials from TS 38.212, or no CRC, for PRDCH</w:t>
      </w:r>
    </w:p>
    <w:p w14:paraId="60DD0653">
      <w:pPr>
        <w:pStyle w:val="33"/>
        <w:numPr>
          <w:ilvl w:val="0"/>
          <w:numId w:val="18"/>
        </w:numPr>
        <w:spacing w:before="0" w:beforeAutospacing="0" w:after="0" w:afterAutospacing="0"/>
        <w:ind w:left="720" w:hanging="360"/>
        <w:jc w:val="left"/>
        <w:rPr>
          <w:rFonts w:ascii="Times New Roman" w:hAnsi="Times New Roman" w:eastAsia="Times New Roman" w:cs="Times New Roman"/>
          <w:sz w:val="24"/>
          <w:szCs w:val="24"/>
          <w:lang w:val="en-GB"/>
        </w:rPr>
      </w:pPr>
      <w:r>
        <w:rPr>
          <w:rFonts w:ascii="Times New Roman" w:hAnsi="Times New Roman" w:eastAsia="Times New Roman" w:cs="Times New Roman"/>
          <w:sz w:val="24"/>
          <w:szCs w:val="24"/>
          <w:lang w:val="en-GB"/>
        </w:rPr>
        <w:t>baseline: using 6 bits and 16 bits CRC with polynomials from TS 38.212, or no CRC, for PDRCH</w:t>
      </w:r>
    </w:p>
    <w:p w14:paraId="205ECB58">
      <w:pPr>
        <w:pStyle w:val="33"/>
        <w:numPr>
          <w:ilvl w:val="0"/>
          <w:numId w:val="18"/>
        </w:numPr>
        <w:spacing w:before="0" w:beforeAutospacing="0" w:after="0" w:afterAutospacing="0"/>
        <w:ind w:left="720" w:hanging="360"/>
        <w:jc w:val="left"/>
        <w:rPr>
          <w:rFonts w:ascii="Times New Roman" w:hAnsi="Times New Roman" w:eastAsia="Times New Roman" w:cs="Times New Roman"/>
          <w:sz w:val="24"/>
          <w:szCs w:val="24"/>
          <w:lang w:val="en-GB"/>
        </w:rPr>
      </w:pPr>
      <w:r>
        <w:rPr>
          <w:rFonts w:ascii="Times New Roman" w:hAnsi="Times New Roman" w:eastAsia="Times New Roman" w:cs="Times New Roman"/>
          <w:sz w:val="24"/>
          <w:szCs w:val="24"/>
          <w:lang w:val="en-GB"/>
        </w:rPr>
        <w:t>FFS: details when different CRC lengths or no CRC may be used</w:t>
      </w:r>
    </w:p>
    <w:p w14:paraId="56EBF9D3">
      <w:pPr>
        <w:spacing w:before="220" w:beforeAutospacing="0" w:after="120" w:afterAutospacing="0"/>
        <w:jc w:val="both"/>
        <w:rPr>
          <w:rFonts w:ascii="Times New Roman" w:hAnsi="Times New Roman" w:eastAsia="Times New Roman" w:cs="Times New Roman"/>
          <w:sz w:val="24"/>
          <w:szCs w:val="24"/>
          <w:lang w:val="en-GB"/>
        </w:rPr>
      </w:pPr>
      <w:r>
        <w:rPr>
          <w:rFonts w:ascii="Times New Roman" w:hAnsi="Times New Roman" w:eastAsia="Times New Roman" w:cs="Times New Roman"/>
          <w:sz w:val="24"/>
          <w:szCs w:val="24"/>
          <w:lang w:val="en-GB"/>
        </w:rPr>
        <w:t>FFS: other 6 bits and 16 bits CRC with different polynomials than from TS 38.212</w:t>
      </w:r>
    </w:p>
    <w:p w14:paraId="011DC6D4">
      <w:pPr>
        <w:spacing w:before="120" w:beforeAutospacing="0" w:after="0" w:afterAutospacing="0"/>
        <w:jc w:val="both"/>
      </w:pPr>
    </w:p>
    <w:p w14:paraId="4436C536">
      <w:pPr>
        <w:spacing w:before="120" w:beforeAutospacing="0" w:after="0" w:afterAutospacing="0"/>
        <w:jc w:val="both"/>
      </w:pPr>
      <w:r>
        <w:t xml:space="preserve">                                        </w:t>
      </w:r>
      <w:r>
        <w:drawing>
          <wp:inline distT="0" distB="0" distL="114300" distR="114300">
            <wp:extent cx="3491865" cy="2466975"/>
            <wp:effectExtent l="0" t="0" r="0" b="0"/>
            <wp:docPr id="308184832" name="Picture 308184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8184832" name="Picture 308184832"/>
                    <pic:cNvPicPr>
                      <a:picLocks noChangeAspect="1"/>
                    </pic:cNvPicPr>
                  </pic:nvPicPr>
                  <pic:blipFill>
                    <a:blip r:embed="rId21">
                      <a:extLst>
                        <a:ext uri="{28A0092B-C50C-407E-A947-70E740481C1C}">
                          <a14:useLocalDpi xmlns:a14="http://schemas.microsoft.com/office/drawing/2010/main" val="0"/>
                        </a:ext>
                      </a:extLst>
                    </a:blip>
                    <a:stretch>
                      <a:fillRect/>
                    </a:stretch>
                  </pic:blipFill>
                  <pic:spPr>
                    <a:xfrm>
                      <a:off x="0" y="0"/>
                      <a:ext cx="3492312" cy="2466975"/>
                    </a:xfrm>
                    <a:prstGeom prst="rect">
                      <a:avLst/>
                    </a:prstGeom>
                  </pic:spPr>
                </pic:pic>
              </a:graphicData>
            </a:graphic>
          </wp:inline>
        </w:drawing>
      </w:r>
    </w:p>
    <w:p w14:paraId="6F277FCF">
      <w:pPr>
        <w:spacing w:before="120" w:beforeAutospacing="0" w:after="0" w:afterAutospacing="0"/>
        <w:jc w:val="both"/>
      </w:pPr>
      <w:r>
        <w:t xml:space="preserve">                                                                   Table 1 : CRC Codes used in 5G NR</w:t>
      </w:r>
    </w:p>
    <w:p w14:paraId="7B05F163">
      <w:pPr>
        <w:spacing w:before="120" w:beforeAutospacing="0" w:after="0" w:afterAutospacing="0"/>
        <w:jc w:val="both"/>
        <w:rPr>
          <w:sz w:val="24"/>
          <w:szCs w:val="24"/>
        </w:rPr>
      </w:pPr>
      <w:r>
        <w:rPr>
          <w:sz w:val="24"/>
          <w:szCs w:val="24"/>
        </w:rPr>
        <w:t>The above table illustrates the different CRC polynomials which are used in 5G NR.</w:t>
      </w:r>
    </w:p>
    <w:p w14:paraId="68075BF4">
      <w:pPr>
        <w:spacing w:before="120" w:beforeAutospacing="0" w:after="0" w:afterAutospacing="0"/>
        <w:jc w:val="both"/>
        <w:rPr>
          <w:rFonts w:ascii="Times New Roman" w:hAnsi="Times New Roman" w:eastAsia="Times New Roman" w:cs="Times New Roman"/>
          <w:strike w:val="0"/>
          <w:dstrike w:val="0"/>
          <w:sz w:val="24"/>
          <w:szCs w:val="24"/>
          <w:u w:val="none"/>
          <w:lang w:val="en-GB"/>
        </w:rPr>
      </w:pPr>
      <w:r>
        <w:rPr>
          <w:rFonts w:ascii="Times New Roman" w:hAnsi="Times New Roman" w:eastAsia="Times New Roman" w:cs="Times New Roman"/>
          <w:strike w:val="0"/>
          <w:dstrike w:val="0"/>
          <w:sz w:val="24"/>
          <w:szCs w:val="24"/>
          <w:u w:val="none"/>
          <w:lang w:val="en-GB"/>
        </w:rPr>
        <w:t xml:space="preserve">When the size of transport block A exceeds 3824, a 24-bit CRC is appended using the generator polynomial CRC24. Conversely, if the size of transport block A is 3824 or smaller, a 16-bit CRC is used, based on the polynomial CRC16(D). </w:t>
      </w:r>
    </w:p>
    <w:p w14:paraId="5A4C628E">
      <w:pPr>
        <w:spacing w:before="120" w:beforeAutospacing="0" w:after="0" w:afterAutospacing="0"/>
        <w:jc w:val="both"/>
        <w:rPr>
          <w:rFonts w:ascii="Times New Roman" w:hAnsi="Times New Roman" w:eastAsia="Times New Roman" w:cs="Times New Roman"/>
          <w:strike w:val="0"/>
          <w:dstrike w:val="0"/>
          <w:sz w:val="24"/>
          <w:szCs w:val="24"/>
          <w:u w:val="none"/>
          <w:lang w:val="en-GB"/>
        </w:rPr>
      </w:pPr>
      <w:r>
        <w:rPr>
          <w:rFonts w:ascii="Times New Roman" w:hAnsi="Times New Roman" w:eastAsia="Times New Roman" w:cs="Times New Roman"/>
          <w:strike w:val="0"/>
          <w:dstrike w:val="0"/>
          <w:sz w:val="24"/>
          <w:szCs w:val="24"/>
          <w:u w:val="none"/>
          <w:lang w:val="en-GB"/>
        </w:rPr>
        <w:t>For Ambient IoT applications, CRC6 and CRC16 are downselected. Generally, the choice of CRC size involves a tradeoff between performance and overhead. Smaller block sizes will utilize CRC6, while larger block sizes will employ CRC16, which offers better performance compared to CRC6. This performance difference is illustrated in the simulation plot below. The simulations show around 3-4 dB performance improvement with CRC-16 when compared to CRC-6.</w:t>
      </w:r>
    </w:p>
    <w:p w14:paraId="6014DCA5">
      <w:pPr>
        <w:spacing w:before="120" w:beforeAutospacing="0" w:after="0" w:afterAutospacing="0"/>
        <w:jc w:val="both"/>
        <w:rPr>
          <w:rFonts w:ascii="Times New Roman" w:hAnsi="Times New Roman" w:eastAsia="Times New Roman" w:cs="Times New Roman"/>
          <w:sz w:val="24"/>
          <w:szCs w:val="24"/>
          <w:lang w:val="en-GB"/>
        </w:rPr>
      </w:pPr>
      <w:r>
        <w:rPr>
          <w:rFonts w:ascii="Times New Roman" w:hAnsi="Times New Roman" w:eastAsia="Times New Roman" w:cs="Times New Roman"/>
          <w:sz w:val="24"/>
          <w:szCs w:val="24"/>
          <w:lang w:val="en-GB"/>
        </w:rPr>
        <w:t xml:space="preserve">                                 </w:t>
      </w:r>
      <w:r>
        <w:drawing>
          <wp:inline distT="0" distB="0" distL="114300" distR="114300">
            <wp:extent cx="3656965" cy="2870200"/>
            <wp:effectExtent l="0" t="0" r="0" b="0"/>
            <wp:docPr id="716381129" name="Picture 716381129" descr="A graph with a red line and blue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6381129" name="Picture 716381129" descr="A graph with a red line and blue line&#10;&#10;Description automatically generated"/>
                    <pic:cNvPicPr>
                      <a:picLocks noChangeAspect="1"/>
                    </pic:cNvPicPr>
                  </pic:nvPicPr>
                  <pic:blipFill>
                    <a:blip r:embed="rId22">
                      <a:extLst>
                        <a:ext uri="{28A0092B-C50C-407E-A947-70E740481C1C}">
                          <a14:useLocalDpi xmlns:a14="http://schemas.microsoft.com/office/drawing/2010/main" val="0"/>
                        </a:ext>
                      </a:extLst>
                    </a:blip>
                    <a:stretch>
                      <a:fillRect/>
                    </a:stretch>
                  </pic:blipFill>
                  <pic:spPr>
                    <a:xfrm>
                      <a:off x="0" y="0"/>
                      <a:ext cx="3657026" cy="2870290"/>
                    </a:xfrm>
                    <a:prstGeom prst="rect">
                      <a:avLst/>
                    </a:prstGeom>
                  </pic:spPr>
                </pic:pic>
              </a:graphicData>
            </a:graphic>
          </wp:inline>
        </w:drawing>
      </w:r>
      <w:r>
        <w:rPr>
          <w:rFonts w:ascii="Times New Roman" w:hAnsi="Times New Roman" w:eastAsia="Times New Roman" w:cs="Times New Roman"/>
          <w:sz w:val="24"/>
          <w:szCs w:val="24"/>
          <w:lang w:val="en-GB"/>
        </w:rPr>
        <w:t xml:space="preserve"> </w:t>
      </w:r>
    </w:p>
    <w:p w14:paraId="0A056644">
      <w:pPr>
        <w:spacing w:before="120" w:beforeAutospacing="0" w:after="0" w:afterAutospacing="0"/>
        <w:jc w:val="both"/>
      </w:pPr>
      <w:r>
        <w:rPr>
          <w:rFonts w:ascii="Times New Roman" w:hAnsi="Times New Roman" w:eastAsia="Times New Roman" w:cs="Times New Roman"/>
          <w:b/>
          <w:bCs/>
          <w:i/>
          <w:iCs/>
          <w:strike w:val="0"/>
          <w:dstrike w:val="0"/>
          <w:sz w:val="24"/>
          <w:szCs w:val="24"/>
          <w:u w:val="none"/>
          <w:lang w:val="en-GB"/>
        </w:rPr>
        <w:t>Observation 9 - For CRC, there is a trade-off between performance and overhead.</w:t>
      </w:r>
      <w:r>
        <w:rPr>
          <w:rFonts w:ascii="Times New Roman" w:hAnsi="Times New Roman" w:eastAsia="Times New Roman" w:cs="Times New Roman"/>
          <w:strike w:val="0"/>
          <w:dstrike w:val="0"/>
          <w:sz w:val="20"/>
          <w:szCs w:val="20"/>
          <w:u w:val="none"/>
          <w:lang w:val="en-GB"/>
        </w:rPr>
        <w:t xml:space="preserve"> </w:t>
      </w:r>
    </w:p>
    <w:p w14:paraId="4B3C7EF8">
      <w:pPr>
        <w:spacing w:before="120" w:beforeAutospacing="0" w:after="0" w:afterAutospacing="0"/>
        <w:jc w:val="both"/>
        <w:rPr>
          <w:rFonts w:ascii="Times New Roman" w:hAnsi="Times New Roman" w:eastAsia="Times New Roman" w:cs="Times New Roman"/>
          <w:b/>
          <w:bCs/>
          <w:i/>
          <w:iCs/>
          <w:strike w:val="0"/>
          <w:dstrike w:val="0"/>
          <w:sz w:val="24"/>
          <w:szCs w:val="24"/>
          <w:u w:val="none"/>
          <w:lang w:val="en-GB"/>
        </w:rPr>
      </w:pPr>
      <w:r>
        <w:rPr>
          <w:rFonts w:ascii="Times New Roman" w:hAnsi="Times New Roman" w:eastAsia="Times New Roman" w:cs="Times New Roman"/>
          <w:b/>
          <w:bCs/>
          <w:i/>
          <w:iCs/>
          <w:strike w:val="0"/>
          <w:dstrike w:val="0"/>
          <w:sz w:val="24"/>
          <w:szCs w:val="24"/>
          <w:u w:val="none"/>
          <w:lang w:val="en-GB"/>
        </w:rPr>
        <w:t>Proposal 9 - For shorter block sizes, consider using CRC-6, while for larger block sizes, CRC-16 is recommended.</w:t>
      </w:r>
    </w:p>
    <w:p w14:paraId="5C8F6E73">
      <w:pPr>
        <w:spacing w:after="120"/>
        <w:jc w:val="both"/>
        <w:rPr>
          <w:rFonts w:ascii="Arial" w:hAnsi="Arial" w:cs="Arial"/>
          <w:b/>
          <w:bCs/>
          <w:sz w:val="24"/>
          <w:szCs w:val="24"/>
        </w:rPr>
      </w:pPr>
    </w:p>
    <w:p w14:paraId="1BE0326D">
      <w:pPr>
        <w:spacing w:after="120"/>
        <w:jc w:val="both"/>
        <w:rPr>
          <w:rFonts w:ascii="Arial" w:hAnsi="Arial" w:cs="Arial"/>
          <w:b/>
          <w:bCs/>
          <w:sz w:val="24"/>
          <w:szCs w:val="24"/>
        </w:rPr>
      </w:pPr>
      <w:r>
        <w:rPr>
          <w:rFonts w:ascii="Arial" w:hAnsi="Arial" w:cs="Arial"/>
          <w:b/>
          <w:bCs/>
          <w:sz w:val="24"/>
          <w:szCs w:val="24"/>
        </w:rPr>
        <w:t>3. Conclusion</w:t>
      </w:r>
    </w:p>
    <w:p w14:paraId="760F6AE2">
      <w:pPr>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In this document different options for waveform and modulation, line coding, and forward error correction techniques for the Ambient IoT device are discussed and the following proposals are made:</w:t>
      </w:r>
    </w:p>
    <w:p w14:paraId="02B62868">
      <w:pPr>
        <w:jc w:val="both"/>
        <w:rPr>
          <w:b/>
          <w:bCs/>
          <w:i/>
          <w:iCs/>
          <w:sz w:val="24"/>
          <w:szCs w:val="24"/>
        </w:rPr>
      </w:pPr>
      <w:r>
        <w:rPr>
          <w:b/>
          <w:bCs/>
          <w:i/>
          <w:iCs/>
          <w:sz w:val="24"/>
          <w:szCs w:val="24"/>
        </w:rPr>
        <w:t>Observation 1 - PIE offers promise of low power and low cost but redundant coding like Manchester which uses more spectrum due to the self-clocking of redundancy of transmitting a full clock cycle per bit, can have better data integrity or BER.</w:t>
      </w:r>
    </w:p>
    <w:p w14:paraId="7C80322E">
      <w:pPr>
        <w:jc w:val="both"/>
        <w:rPr>
          <w:b/>
          <w:bCs/>
          <w:i/>
          <w:iCs/>
          <w:sz w:val="24"/>
          <w:szCs w:val="24"/>
        </w:rPr>
      </w:pPr>
      <w:r>
        <w:rPr>
          <w:b/>
          <w:bCs/>
          <w:i/>
          <w:iCs/>
          <w:sz w:val="24"/>
          <w:szCs w:val="24"/>
        </w:rPr>
        <w:t>Proposal 1 – Owing to its drawbacks like false edge detection and high transmit time, pulse interval encoding doesn’t seem to be a good fit for A-IoT R2D line-coding. Hence, Manchester is more preferred in this scenario.</w:t>
      </w:r>
    </w:p>
    <w:p w14:paraId="6A493775">
      <w:pPr>
        <w:jc w:val="both"/>
        <w:rPr>
          <w:b/>
          <w:bCs/>
          <w:i/>
          <w:iCs/>
          <w:sz w:val="24"/>
          <w:szCs w:val="24"/>
        </w:rPr>
      </w:pPr>
    </w:p>
    <w:p w14:paraId="15BEB77F">
      <w:pPr>
        <w:jc w:val="both"/>
        <w:rPr>
          <w:b/>
          <w:bCs/>
          <w:i/>
          <w:iCs/>
          <w:sz w:val="24"/>
          <w:szCs w:val="24"/>
        </w:rPr>
      </w:pPr>
      <w:r>
        <w:rPr>
          <w:b/>
          <w:bCs/>
          <w:i/>
          <w:iCs/>
          <w:sz w:val="24"/>
          <w:szCs w:val="24"/>
        </w:rPr>
        <w:t>Observation 2 - Manchester codes have better data integrity or BER. They also have minimal DC component when compared to the Miller and FMO codes as observed from the power spectral density plot in Fig 2. Miller tends to have better noise performance, whereas FM0 has higher data-rate with self-clocking capability and minimized cost.</w:t>
      </w:r>
    </w:p>
    <w:p w14:paraId="1BF5D0F2">
      <w:pPr>
        <w:jc w:val="both"/>
        <w:rPr>
          <w:b/>
          <w:bCs/>
          <w:i/>
          <w:iCs/>
          <w:sz w:val="24"/>
          <w:szCs w:val="24"/>
        </w:rPr>
      </w:pPr>
      <w:r>
        <w:rPr>
          <w:b/>
          <w:bCs/>
          <w:i/>
          <w:iCs/>
          <w:sz w:val="24"/>
          <w:szCs w:val="24"/>
        </w:rPr>
        <w:t>Proposal 2 – For A-IoT D2R line-coding, Manchester coding can be considered owing to its spectral efficiency, resilience to SFO, and its capability to support FDMA.</w:t>
      </w:r>
    </w:p>
    <w:p w14:paraId="495EDE58">
      <w:pPr>
        <w:jc w:val="both"/>
        <w:rPr>
          <w:b/>
          <w:bCs/>
          <w:i/>
          <w:iCs/>
          <w:sz w:val="24"/>
          <w:szCs w:val="24"/>
        </w:rPr>
      </w:pPr>
    </w:p>
    <w:p w14:paraId="174768DA">
      <w:pPr>
        <w:jc w:val="both"/>
        <w:rPr>
          <w:b/>
          <w:bCs/>
          <w:i/>
          <w:iCs/>
          <w:sz w:val="24"/>
          <w:szCs w:val="24"/>
        </w:rPr>
      </w:pPr>
      <w:r>
        <w:rPr>
          <w:b/>
          <w:bCs/>
          <w:i/>
          <w:iCs/>
          <w:sz w:val="24"/>
          <w:szCs w:val="24"/>
        </w:rPr>
        <w:t>Observation 3 - BPSK offers superior decoding performance. However, there are several advantages of on-off keying which include low power consumption, simple demodulation techniques, and spectral efficiency.</w:t>
      </w:r>
    </w:p>
    <w:p w14:paraId="1D3DEEB3">
      <w:pPr>
        <w:jc w:val="both"/>
        <w:rPr>
          <w:b/>
          <w:bCs/>
          <w:i/>
          <w:iCs/>
          <w:sz w:val="24"/>
          <w:szCs w:val="24"/>
        </w:rPr>
      </w:pPr>
      <w:r>
        <w:rPr>
          <w:b/>
          <w:bCs/>
          <w:i/>
          <w:iCs/>
          <w:sz w:val="24"/>
          <w:szCs w:val="24"/>
        </w:rPr>
        <w:t>Proposal 3 - For the D2R transmission, OOK modulation scheme can be supported.</w:t>
      </w:r>
    </w:p>
    <w:p w14:paraId="1BAF7CA7">
      <w:pPr>
        <w:jc w:val="both"/>
        <w:rPr>
          <w:b/>
          <w:bCs/>
          <w:i/>
          <w:iCs/>
          <w:sz w:val="24"/>
          <w:szCs w:val="24"/>
        </w:rPr>
      </w:pPr>
    </w:p>
    <w:p w14:paraId="5769D2A0">
      <w:pPr>
        <w:jc w:val="both"/>
        <w:rPr>
          <w:rFonts w:ascii="Times New Roman" w:hAnsi="Times New Roman" w:eastAsia="Times New Roman" w:cs="Times New Roman"/>
          <w:sz w:val="24"/>
          <w:szCs w:val="24"/>
          <w:lang w:val="en-GB"/>
        </w:rPr>
      </w:pPr>
      <w:r>
        <w:rPr>
          <w:rFonts w:ascii="Times New Roman" w:hAnsi="Times New Roman" w:eastAsia="Times New Roman" w:cs="Times New Roman"/>
          <w:b/>
          <w:bCs/>
          <w:i/>
          <w:iCs/>
          <w:sz w:val="24"/>
          <w:szCs w:val="24"/>
          <w:lang w:val="en-GB"/>
        </w:rPr>
        <w:t xml:space="preserve">Observation 4 - MSK provides advantages in bandwidth efficiency and performance at the cost of increased complexity in both modulation and demodulation processes. </w:t>
      </w:r>
    </w:p>
    <w:p w14:paraId="24C9F45D">
      <w:pPr>
        <w:jc w:val="both"/>
        <w:rPr>
          <w:rFonts w:ascii="Times New Roman" w:hAnsi="Times New Roman" w:eastAsia="Times New Roman" w:cs="Times New Roman"/>
          <w:sz w:val="24"/>
          <w:szCs w:val="24"/>
          <w:lang w:val="en-GB"/>
        </w:rPr>
      </w:pPr>
      <w:r>
        <w:rPr>
          <w:b/>
          <w:bCs/>
          <w:i/>
          <w:iCs/>
          <w:sz w:val="24"/>
          <w:szCs w:val="24"/>
        </w:rPr>
        <w:t>Proposal  4 - For the D2R transmission, MSK modulation scheme can also be supported.</w:t>
      </w:r>
    </w:p>
    <w:p w14:paraId="2538AFDB">
      <w:pPr>
        <w:jc w:val="both"/>
        <w:rPr>
          <w:b/>
          <w:bCs/>
          <w:i/>
          <w:iCs/>
          <w:sz w:val="24"/>
          <w:szCs w:val="24"/>
        </w:rPr>
      </w:pPr>
    </w:p>
    <w:p w14:paraId="786A73B7">
      <w:pPr>
        <w:keepLines/>
        <w:spacing w:before="120" w:beforeAutospacing="0" w:after="0" w:afterAutospacing="0"/>
        <w:jc w:val="both"/>
        <w:rPr>
          <w:rFonts w:ascii="Times New Roman" w:hAnsi="Times New Roman" w:eastAsia="Times New Roman" w:cs="Times New Roman"/>
          <w:b/>
          <w:bCs/>
          <w:i/>
          <w:iCs/>
          <w:sz w:val="24"/>
          <w:szCs w:val="24"/>
          <w:lang w:val="en-GB"/>
        </w:rPr>
      </w:pPr>
      <w:r>
        <w:rPr>
          <w:rFonts w:ascii="Times New Roman" w:hAnsi="Times New Roman" w:eastAsia="Times New Roman" w:cs="Times New Roman"/>
          <w:b/>
          <w:bCs/>
          <w:i/>
          <w:iCs/>
          <w:sz w:val="24"/>
          <w:szCs w:val="24"/>
          <w:lang w:val="en-GB"/>
        </w:rPr>
        <w:t>Observation 5 - LTE convolutional codes with rate 1/3 provides 6-7 dB gain when compared to the uncoded systems. Moreover, the rate 1/3 code can be punctured to rate ½ code which can be utilised in scenarios where prioritising throughput is more critical than the error correction performance.</w:t>
      </w:r>
    </w:p>
    <w:p w14:paraId="4C26046B">
      <w:pPr>
        <w:keepLines/>
        <w:spacing w:before="120" w:beforeAutospacing="0" w:after="0" w:afterAutospacing="0"/>
        <w:jc w:val="both"/>
        <w:rPr>
          <w:rFonts w:ascii="Times New Roman" w:hAnsi="Times New Roman" w:eastAsia="Times New Roman" w:cs="Times New Roman"/>
          <w:b/>
          <w:bCs/>
          <w:i/>
          <w:iCs/>
          <w:sz w:val="24"/>
          <w:szCs w:val="24"/>
          <w:lang w:val="en-GB"/>
        </w:rPr>
      </w:pPr>
      <w:r>
        <w:rPr>
          <w:rFonts w:ascii="Times New Roman" w:hAnsi="Times New Roman" w:eastAsia="Times New Roman" w:cs="Times New Roman"/>
          <w:b/>
          <w:bCs/>
          <w:i/>
          <w:iCs/>
          <w:sz w:val="24"/>
          <w:szCs w:val="24"/>
          <w:lang w:val="en-GB"/>
        </w:rPr>
        <w:t>Proposal 5 - For the D2R transmission of Ambient IoT, LTE convolutional codes with rate 1/3 is supported for D2R FEC.</w:t>
      </w:r>
    </w:p>
    <w:p w14:paraId="22768799">
      <w:pPr>
        <w:keepLines/>
        <w:spacing w:before="120" w:beforeAutospacing="0" w:after="0" w:afterAutospacing="0"/>
        <w:jc w:val="both"/>
        <w:rPr>
          <w:rFonts w:ascii="Times New Roman" w:hAnsi="Times New Roman" w:eastAsia="Times New Roman" w:cs="Times New Roman"/>
          <w:b/>
          <w:bCs/>
          <w:i/>
          <w:iCs/>
          <w:sz w:val="24"/>
          <w:szCs w:val="24"/>
          <w:lang w:val="en-GB"/>
        </w:rPr>
      </w:pPr>
    </w:p>
    <w:p w14:paraId="0AF665D2">
      <w:pPr>
        <w:spacing w:before="120" w:beforeAutospacing="0" w:after="0" w:afterAutospacing="0"/>
        <w:jc w:val="both"/>
        <w:rPr>
          <w:rFonts w:ascii="Times New Roman" w:hAnsi="Times New Roman" w:eastAsia="Times New Roman" w:cs="Times New Roman"/>
          <w:b/>
          <w:bCs/>
          <w:i/>
          <w:iCs/>
          <w:sz w:val="24"/>
          <w:szCs w:val="24"/>
          <w:lang w:val="en-GB"/>
        </w:rPr>
      </w:pPr>
      <w:r>
        <w:rPr>
          <w:rFonts w:ascii="Times New Roman" w:hAnsi="Times New Roman" w:eastAsia="Times New Roman" w:cs="Times New Roman"/>
          <w:b/>
          <w:bCs/>
          <w:i/>
          <w:iCs/>
          <w:sz w:val="24"/>
          <w:szCs w:val="24"/>
          <w:lang w:val="en-GB"/>
        </w:rPr>
        <w:t>Observation 6 - Block codes tend to outperform convolutional codes in applications where simplicity, low computational overhead, and efficient error correction for burst errors are critical.</w:t>
      </w:r>
    </w:p>
    <w:p w14:paraId="03D1E6BF">
      <w:pPr>
        <w:spacing w:before="120" w:beforeAutospacing="0" w:after="0" w:afterAutospacing="0"/>
        <w:jc w:val="both"/>
        <w:rPr>
          <w:rFonts w:ascii="Times New Roman" w:hAnsi="Times New Roman" w:eastAsia="Times New Roman" w:cs="Times New Roman"/>
          <w:b/>
          <w:bCs/>
          <w:i/>
          <w:iCs/>
          <w:sz w:val="24"/>
          <w:szCs w:val="24"/>
          <w:lang w:val="en-GB"/>
        </w:rPr>
      </w:pPr>
      <w:r>
        <w:rPr>
          <w:rFonts w:ascii="Times New Roman" w:hAnsi="Times New Roman" w:eastAsia="Times New Roman" w:cs="Times New Roman"/>
          <w:b/>
          <w:bCs/>
          <w:i/>
          <w:iCs/>
          <w:sz w:val="24"/>
          <w:szCs w:val="24"/>
          <w:lang w:val="en-GB"/>
        </w:rPr>
        <w:t xml:space="preserve">Proposal 6 </w:t>
      </w:r>
      <w:r>
        <w:rPr>
          <w:rFonts w:ascii="Times New Roman" w:hAnsi="Times New Roman" w:eastAsia="Times New Roman" w:cs="Times New Roman"/>
          <w:b w:val="0"/>
          <w:bCs w:val="0"/>
          <w:sz w:val="24"/>
          <w:szCs w:val="24"/>
          <w:lang w:val="en-GB"/>
        </w:rPr>
        <w:t xml:space="preserve">- </w:t>
      </w:r>
      <w:r>
        <w:rPr>
          <w:rFonts w:ascii="Times New Roman" w:hAnsi="Times New Roman" w:eastAsia="Times New Roman" w:cs="Times New Roman"/>
          <w:b/>
          <w:bCs/>
          <w:i/>
          <w:iCs/>
          <w:sz w:val="24"/>
          <w:szCs w:val="24"/>
          <w:lang w:val="en-GB"/>
        </w:rPr>
        <w:t>For the D2R transmission of Ambient IoT, Block Codes are also supported for D2R FEC.</w:t>
      </w:r>
    </w:p>
    <w:p w14:paraId="3C8CFEDD">
      <w:pPr>
        <w:spacing w:before="120" w:beforeAutospacing="0" w:after="0" w:afterAutospacing="0"/>
        <w:jc w:val="both"/>
        <w:rPr>
          <w:rFonts w:ascii="Times New Roman" w:hAnsi="Times New Roman" w:eastAsia="Times New Roman" w:cs="Times New Roman"/>
          <w:b/>
          <w:bCs/>
          <w:i/>
          <w:iCs/>
          <w:sz w:val="24"/>
          <w:szCs w:val="24"/>
          <w:lang w:val="en-GB"/>
        </w:rPr>
      </w:pPr>
    </w:p>
    <w:p w14:paraId="2EF45171">
      <w:pPr>
        <w:spacing w:before="120" w:beforeAutospacing="0" w:after="0" w:afterAutospacing="0"/>
        <w:jc w:val="both"/>
        <w:rPr>
          <w:rFonts w:ascii="Times New Roman" w:hAnsi="Times New Roman" w:eastAsia="Times New Roman" w:cs="Times New Roman"/>
          <w:b/>
          <w:bCs/>
          <w:i/>
          <w:iCs/>
          <w:strike w:val="0"/>
          <w:dstrike w:val="0"/>
          <w:sz w:val="24"/>
          <w:szCs w:val="24"/>
          <w:u w:val="none"/>
          <w:lang w:val="en-GB"/>
        </w:rPr>
      </w:pPr>
      <w:r>
        <w:rPr>
          <w:rFonts w:ascii="Times New Roman" w:hAnsi="Times New Roman" w:eastAsia="Times New Roman" w:cs="Times New Roman"/>
          <w:b/>
          <w:bCs/>
          <w:i/>
          <w:iCs/>
          <w:strike w:val="0"/>
          <w:dstrike w:val="0"/>
          <w:sz w:val="24"/>
          <w:szCs w:val="24"/>
          <w:u w:val="none"/>
          <w:lang w:val="en-GB"/>
        </w:rPr>
        <w:t>Observation 7 - For D2R Repetition, forward error correction (FEC) followed by block repetition provides advantages of time diversity and soft combining gain prior to the FEC decoder.</w:t>
      </w:r>
    </w:p>
    <w:p w14:paraId="40927592">
      <w:pPr>
        <w:spacing w:before="120" w:beforeAutospacing="0" w:after="0" w:afterAutospacing="0"/>
        <w:jc w:val="both"/>
        <w:rPr>
          <w:rFonts w:ascii="Times New Roman" w:hAnsi="Times New Roman" w:eastAsia="Times New Roman" w:cs="Times New Roman"/>
          <w:b/>
          <w:bCs/>
          <w:i/>
          <w:iCs/>
          <w:strike w:val="0"/>
          <w:dstrike w:val="0"/>
          <w:sz w:val="24"/>
          <w:szCs w:val="24"/>
          <w:u w:val="none"/>
          <w:lang w:val="en-GB"/>
        </w:rPr>
      </w:pPr>
      <w:r>
        <w:rPr>
          <w:rFonts w:ascii="Times New Roman" w:hAnsi="Times New Roman" w:eastAsia="Times New Roman" w:cs="Times New Roman"/>
          <w:b/>
          <w:bCs/>
          <w:i/>
          <w:iCs/>
          <w:strike w:val="0"/>
          <w:dstrike w:val="0"/>
          <w:sz w:val="24"/>
          <w:szCs w:val="24"/>
          <w:u w:val="none"/>
          <w:lang w:val="en-GB"/>
        </w:rPr>
        <w:t>Proposal 7 - For D2R Repetition, FEC followed by block repetition is supported.</w:t>
      </w:r>
    </w:p>
    <w:p w14:paraId="105988CE">
      <w:pPr>
        <w:spacing w:before="120" w:beforeAutospacing="0" w:after="0" w:afterAutospacing="0"/>
        <w:jc w:val="both"/>
        <w:rPr>
          <w:rFonts w:ascii="Times New Roman" w:hAnsi="Times New Roman" w:eastAsia="Times New Roman" w:cs="Times New Roman"/>
          <w:b/>
          <w:bCs/>
          <w:i/>
          <w:iCs/>
          <w:strike w:val="0"/>
          <w:dstrike w:val="0"/>
          <w:sz w:val="24"/>
          <w:szCs w:val="24"/>
          <w:u w:val="none"/>
          <w:lang w:val="en-GB"/>
        </w:rPr>
      </w:pPr>
    </w:p>
    <w:p w14:paraId="619ACD9F">
      <w:pPr>
        <w:spacing w:before="120" w:beforeAutospacing="0" w:after="0" w:afterAutospacing="0"/>
        <w:jc w:val="both"/>
        <w:rPr>
          <w:rFonts w:ascii="Times New Roman" w:hAnsi="Times New Roman" w:eastAsia="Times New Roman" w:cs="Times New Roman"/>
          <w:b/>
          <w:bCs/>
          <w:i/>
          <w:iCs/>
          <w:strike w:val="0"/>
          <w:dstrike w:val="0"/>
          <w:sz w:val="24"/>
          <w:szCs w:val="24"/>
          <w:u w:val="none"/>
          <w:lang w:val="en-GB"/>
        </w:rPr>
      </w:pPr>
      <w:r>
        <w:rPr>
          <w:rFonts w:ascii="Times New Roman" w:hAnsi="Times New Roman" w:eastAsia="Times New Roman" w:cs="Times New Roman"/>
          <w:b/>
          <w:bCs/>
          <w:i/>
          <w:iCs/>
          <w:strike w:val="0"/>
          <w:dstrike w:val="0"/>
          <w:sz w:val="24"/>
          <w:szCs w:val="24"/>
          <w:u w:val="none"/>
          <w:lang w:val="en-GB"/>
        </w:rPr>
        <w:t>Observation 8 - For D2R, interleaving helps to improve the reliability and efficiency of the system as it reduces the burst errors, improves the performance of the FEC decoder and increases robustness against channel fading.</w:t>
      </w:r>
    </w:p>
    <w:p w14:paraId="2BAC8598">
      <w:pPr>
        <w:spacing w:before="120" w:beforeAutospacing="0" w:after="0" w:afterAutospacing="0"/>
        <w:jc w:val="both"/>
        <w:rPr>
          <w:rFonts w:ascii="Times New Roman" w:hAnsi="Times New Roman" w:eastAsia="Times New Roman" w:cs="Times New Roman"/>
          <w:b/>
          <w:bCs/>
          <w:i/>
          <w:iCs/>
          <w:strike w:val="0"/>
          <w:dstrike w:val="0"/>
          <w:sz w:val="24"/>
          <w:szCs w:val="24"/>
          <w:u w:val="none"/>
          <w:lang w:val="en-GB"/>
        </w:rPr>
      </w:pPr>
      <w:r>
        <w:rPr>
          <w:rFonts w:ascii="Times New Roman" w:hAnsi="Times New Roman" w:eastAsia="Times New Roman" w:cs="Times New Roman"/>
          <w:b/>
          <w:bCs/>
          <w:i/>
          <w:iCs/>
          <w:strike w:val="0"/>
          <w:dstrike w:val="0"/>
          <w:sz w:val="24"/>
          <w:szCs w:val="24"/>
          <w:u w:val="none"/>
          <w:lang w:val="en-GB"/>
        </w:rPr>
        <w:t>Proposal 8- For D2R transmit and receive chain, interleaving and deinterleaving is supported.</w:t>
      </w:r>
    </w:p>
    <w:p w14:paraId="6AD95EC4">
      <w:pPr>
        <w:spacing w:before="120" w:beforeAutospacing="0" w:after="0" w:afterAutospacing="0"/>
        <w:jc w:val="both"/>
        <w:rPr>
          <w:rFonts w:ascii="Times New Roman" w:hAnsi="Times New Roman" w:eastAsia="Times New Roman" w:cs="Times New Roman"/>
          <w:b/>
          <w:bCs/>
          <w:i/>
          <w:iCs/>
          <w:strike w:val="0"/>
          <w:dstrike w:val="0"/>
          <w:sz w:val="24"/>
          <w:szCs w:val="24"/>
          <w:u w:val="none"/>
          <w:lang w:val="en-GB"/>
        </w:rPr>
      </w:pPr>
    </w:p>
    <w:p w14:paraId="52B42FA2">
      <w:pPr>
        <w:spacing w:before="120" w:beforeAutospacing="0" w:after="0" w:afterAutospacing="0"/>
        <w:jc w:val="both"/>
      </w:pPr>
      <w:r>
        <w:rPr>
          <w:rFonts w:ascii="Times New Roman" w:hAnsi="Times New Roman" w:eastAsia="Times New Roman" w:cs="Times New Roman"/>
          <w:b/>
          <w:bCs/>
          <w:i/>
          <w:iCs/>
          <w:strike w:val="0"/>
          <w:dstrike w:val="0"/>
          <w:sz w:val="24"/>
          <w:szCs w:val="24"/>
          <w:u w:val="none"/>
          <w:lang w:val="en-GB"/>
        </w:rPr>
        <w:t>Observation 9 - For CRC, there is a trade-off between performance and overhead.</w:t>
      </w:r>
      <w:r>
        <w:rPr>
          <w:rFonts w:ascii="Times New Roman" w:hAnsi="Times New Roman" w:eastAsia="Times New Roman" w:cs="Times New Roman"/>
          <w:strike w:val="0"/>
          <w:dstrike w:val="0"/>
          <w:sz w:val="20"/>
          <w:szCs w:val="20"/>
          <w:u w:val="none"/>
          <w:lang w:val="en-GB"/>
        </w:rPr>
        <w:t xml:space="preserve"> </w:t>
      </w:r>
    </w:p>
    <w:p w14:paraId="2CF7907F">
      <w:pPr>
        <w:spacing w:before="120" w:beforeAutospacing="0" w:after="0" w:afterAutospacing="0"/>
        <w:jc w:val="both"/>
        <w:rPr>
          <w:rFonts w:ascii="Times New Roman" w:hAnsi="Times New Roman" w:eastAsia="Times New Roman" w:cs="Times New Roman"/>
          <w:b/>
          <w:bCs/>
          <w:i/>
          <w:iCs/>
          <w:strike w:val="0"/>
          <w:dstrike w:val="0"/>
          <w:sz w:val="24"/>
          <w:szCs w:val="24"/>
          <w:u w:val="none"/>
          <w:lang w:val="en-GB"/>
        </w:rPr>
      </w:pPr>
      <w:r>
        <w:rPr>
          <w:rFonts w:ascii="Times New Roman" w:hAnsi="Times New Roman" w:eastAsia="Times New Roman" w:cs="Times New Roman"/>
          <w:b/>
          <w:bCs/>
          <w:i/>
          <w:iCs/>
          <w:strike w:val="0"/>
          <w:dstrike w:val="0"/>
          <w:sz w:val="24"/>
          <w:szCs w:val="24"/>
          <w:u w:val="none"/>
          <w:lang w:val="en-GB"/>
        </w:rPr>
        <w:t>Proposal 9 - For shorter block sizes, consider using CRC-6, while for larger block sizes, CRC-16 is recommended.</w:t>
      </w:r>
    </w:p>
    <w:p w14:paraId="597075BE">
      <w:pPr>
        <w:keepLines/>
        <w:spacing w:before="120" w:beforeAutospacing="0" w:after="0" w:afterAutospacing="0"/>
        <w:jc w:val="both"/>
        <w:rPr>
          <w:rFonts w:ascii="Times New Roman" w:hAnsi="Times New Roman" w:eastAsia="Times New Roman" w:cs="Times New Roman"/>
          <w:b/>
          <w:bCs/>
          <w:i/>
          <w:iCs/>
          <w:sz w:val="24"/>
          <w:szCs w:val="24"/>
          <w:lang w:val="en-GB"/>
        </w:rPr>
      </w:pPr>
    </w:p>
    <w:p w14:paraId="62486C05">
      <w:pPr>
        <w:spacing w:after="120"/>
        <w:rPr>
          <w:rFonts w:ascii="Arial" w:hAnsi="Arial" w:cs="Arial"/>
          <w:b/>
          <w:bCs/>
          <w:sz w:val="24"/>
          <w:szCs w:val="24"/>
        </w:rPr>
      </w:pPr>
    </w:p>
    <w:p w14:paraId="195CCCCF">
      <w:pPr>
        <w:spacing w:after="120"/>
        <w:rPr>
          <w:rFonts w:ascii="Arial" w:hAnsi="Arial" w:cs="Arial"/>
          <w:b/>
          <w:bCs/>
          <w:sz w:val="24"/>
          <w:szCs w:val="24"/>
        </w:rPr>
      </w:pPr>
      <w:r>
        <w:rPr>
          <w:rFonts w:ascii="Arial" w:hAnsi="Arial" w:cs="Arial"/>
          <w:b/>
          <w:bCs/>
          <w:sz w:val="24"/>
          <w:szCs w:val="24"/>
        </w:rPr>
        <w:t>4. References</w:t>
      </w:r>
    </w:p>
    <w:p w14:paraId="0DD7BA03">
      <w:pPr>
        <w:pStyle w:val="33"/>
        <w:numPr>
          <w:ilvl w:val="0"/>
          <w:numId w:val="19"/>
        </w:numPr>
        <w:spacing w:before="0" w:beforeAutospacing="0" w:after="0" w:afterAutospacing="0"/>
        <w:ind w:left="420" w:right="0" w:hanging="420"/>
        <w:jc w:val="both"/>
        <w:rPr>
          <w:rFonts w:ascii="Times New Roman" w:hAnsi="Times New Roman" w:eastAsia="Times New Roman" w:cs="Times New Roman"/>
          <w:b w:val="0"/>
          <w:bCs w:val="0"/>
          <w:sz w:val="20"/>
          <w:szCs w:val="20"/>
          <w:lang w:val="en-GB"/>
        </w:rPr>
      </w:pPr>
      <w:r>
        <w:rPr>
          <w:rFonts w:ascii="Times New Roman" w:hAnsi="Times New Roman" w:eastAsia="Times New Roman" w:cs="Times New Roman"/>
          <w:b w:val="0"/>
          <w:bCs w:val="0"/>
          <w:sz w:val="20"/>
          <w:szCs w:val="20"/>
          <w:lang w:val="en-GB"/>
        </w:rPr>
        <w:t>R1-2409311</w:t>
      </w:r>
      <w:r>
        <w:rPr>
          <w:rFonts w:ascii="Times New Roman" w:hAnsi="Times New Roman" w:eastAsia="Times New Roman" w:cs="Times New Roman"/>
          <w:b/>
          <w:bCs/>
          <w:sz w:val="24"/>
          <w:szCs w:val="24"/>
          <w:lang w:val="en-GB"/>
        </w:rPr>
        <w:t xml:space="preserve">, </w:t>
      </w:r>
      <w:r>
        <w:rPr>
          <w:rFonts w:ascii="Times New Roman" w:hAnsi="Times New Roman" w:eastAsia="Times New Roman" w:cs="Times New Roman"/>
          <w:b w:val="0"/>
          <w:bCs w:val="0"/>
          <w:sz w:val="20"/>
          <w:szCs w:val="20"/>
          <w:lang w:val="en-GB"/>
        </w:rPr>
        <w:t>Feature Lead Summary #5 for 9.4.2.1: “Ambient IoT – General aspects of physical layer design”,</w:t>
      </w:r>
      <w:r>
        <w:rPr>
          <w:rFonts w:ascii="Times New Roman" w:hAnsi="Times New Roman" w:eastAsia="Times New Roman" w:cs="Times New Roman"/>
          <w:b/>
          <w:bCs/>
          <w:sz w:val="24"/>
          <w:szCs w:val="24"/>
          <w:lang w:val="en-GB"/>
        </w:rPr>
        <w:t xml:space="preserve"> </w:t>
      </w:r>
      <w:r>
        <w:rPr>
          <w:rFonts w:ascii="Times New Roman" w:hAnsi="Times New Roman" w:eastAsia="Times New Roman" w:cs="Times New Roman"/>
          <w:b w:val="0"/>
          <w:bCs w:val="0"/>
          <w:sz w:val="20"/>
          <w:szCs w:val="20"/>
          <w:lang w:val="en-GB"/>
        </w:rPr>
        <w:t>3GPP TSG RAN-WG1 Meeting #118bis, Hefei, China, 14-18 October, 2024, Moderator (Huawei)</w:t>
      </w:r>
    </w:p>
    <w:p w14:paraId="2B517D77">
      <w:pPr>
        <w:pStyle w:val="33"/>
        <w:numPr>
          <w:ilvl w:val="0"/>
          <w:numId w:val="19"/>
        </w:numPr>
        <w:spacing w:before="0" w:beforeAutospacing="0" w:after="0" w:afterAutospacing="0"/>
        <w:ind w:left="420" w:right="0" w:hanging="420"/>
        <w:jc w:val="both"/>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R1-2403679, Feature Lead Summary #4 for 9.4.2.1: “Ambient IoT – General aspects of physical layer design”, RAN1#116-bis, April 2024, Huawei (moderator).</w:t>
      </w:r>
    </w:p>
    <w:p w14:paraId="766F89E9">
      <w:pPr>
        <w:pStyle w:val="33"/>
        <w:numPr>
          <w:ilvl w:val="0"/>
          <w:numId w:val="19"/>
        </w:numPr>
        <w:spacing w:before="0" w:beforeAutospacing="0" w:after="0" w:afterAutospacing="0"/>
        <w:ind w:left="420" w:right="0" w:hanging="420"/>
        <w:jc w:val="both"/>
        <w:rPr>
          <w:rFonts w:ascii="Times New Roman" w:hAnsi="Times New Roman" w:eastAsia="Times New Roman" w:cs="Times New Roman"/>
          <w:b w:val="0"/>
          <w:bCs w:val="0"/>
          <w:sz w:val="20"/>
          <w:szCs w:val="20"/>
          <w:lang w:val="en-GB"/>
        </w:rPr>
      </w:pPr>
      <w:r>
        <w:rPr>
          <w:rFonts w:ascii="Times New Roman" w:hAnsi="Times New Roman" w:eastAsia="Times New Roman" w:cs="Times New Roman"/>
          <w:b w:val="0"/>
          <w:bCs w:val="0"/>
          <w:sz w:val="20"/>
          <w:szCs w:val="20"/>
          <w:lang w:val="en-GB"/>
        </w:rPr>
        <w:t>R1-2407249, Feature Lead Summary #1 for 9.4.2.1: “Ambient IoT – General aspects of physical layer design”, 3GPP TSG RAN-WG1 Meeting #118, Maastricht, Netherlands, 19-23 August, 2024, Moderator (Huawei)</w:t>
      </w:r>
      <w:r>
        <w:tab/>
      </w:r>
    </w:p>
    <w:p w14:paraId="48D28213">
      <w:pPr>
        <w:pStyle w:val="33"/>
        <w:numPr>
          <w:ilvl w:val="0"/>
          <w:numId w:val="19"/>
        </w:numPr>
        <w:spacing w:before="0" w:beforeAutospacing="0" w:after="0" w:afterAutospacing="0"/>
        <w:ind w:left="420" w:right="0" w:hanging="420"/>
        <w:jc w:val="both"/>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R1-2405441, Feature Lead Summary #2 for 9.4.2.1: “Ambient IoT – General aspects of physical layer design”, RAN1#117, May 2024, Huawei (moderator).</w:t>
      </w:r>
    </w:p>
    <w:p w14:paraId="05A3D3A7">
      <w:pPr>
        <w:pStyle w:val="33"/>
        <w:numPr>
          <w:ilvl w:val="0"/>
          <w:numId w:val="19"/>
        </w:numPr>
        <w:spacing w:before="0" w:beforeAutospacing="0" w:after="0" w:afterAutospacing="0"/>
        <w:ind w:left="420" w:right="0" w:hanging="420"/>
        <w:jc w:val="both"/>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 xml:space="preserve">TS 36.212, </w:t>
      </w:r>
      <w:r>
        <w:t>Evolved Universal Terrestrial Radio Access (E-UTRA); Multiplexing and channel coding</w:t>
      </w:r>
    </w:p>
    <w:p w14:paraId="0D37C458">
      <w:pPr>
        <w:pStyle w:val="33"/>
        <w:numPr>
          <w:ilvl w:val="0"/>
          <w:numId w:val="19"/>
        </w:numPr>
        <w:spacing w:before="0" w:beforeAutospacing="0" w:after="0" w:afterAutospacing="0"/>
        <w:ind w:left="420" w:right="0" w:hanging="420"/>
        <w:jc w:val="both"/>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TS 38.212, 5G;</w:t>
      </w:r>
      <w:r>
        <w:rPr>
          <w:lang w:val="en-GB"/>
        </w:rPr>
        <w:t>NR; Multiplexing and channel coding</w:t>
      </w:r>
    </w:p>
    <w:p w14:paraId="67B1BA98">
      <w:pPr>
        <w:pStyle w:val="33"/>
        <w:spacing w:before="0" w:beforeAutospacing="0" w:after="0" w:afterAutospacing="0"/>
        <w:ind w:left="420" w:right="0" w:hanging="420"/>
        <w:jc w:val="both"/>
        <w:rPr>
          <w:rFonts w:ascii="Times New Roman" w:hAnsi="Times New Roman" w:eastAsia="Times New Roman" w:cs="Times New Roman"/>
          <w:sz w:val="20"/>
          <w:szCs w:val="20"/>
          <w:lang w:val="en-GB"/>
        </w:rPr>
      </w:pPr>
    </w:p>
    <w:p w14:paraId="780F34FE">
      <w:pPr>
        <w:spacing w:before="0" w:beforeAutospacing="0" w:after="0" w:afterAutospacing="0"/>
        <w:ind w:right="0"/>
        <w:jc w:val="both"/>
        <w:rPr>
          <w:rFonts w:ascii="Times New Roman" w:hAnsi="Times New Roman" w:eastAsia="Times New Roman" w:cs="Times New Roman"/>
          <w:sz w:val="20"/>
          <w:szCs w:val="20"/>
          <w:lang w:val="en-GB"/>
        </w:rPr>
      </w:pPr>
    </w:p>
    <w:p w14:paraId="4185FB2D">
      <w:pPr>
        <w:spacing w:before="0" w:beforeAutospacing="0" w:after="0" w:afterAutospacing="0"/>
        <w:ind w:right="0"/>
        <w:jc w:val="both"/>
        <w:rPr>
          <w:rFonts w:ascii="Times New Roman" w:hAnsi="Times New Roman" w:eastAsia="Times New Roman" w:cs="Times New Roman"/>
          <w:b/>
          <w:bCs/>
          <w:sz w:val="20"/>
          <w:szCs w:val="20"/>
          <w:lang w:val="en-GB"/>
        </w:rPr>
      </w:pPr>
      <w:r>
        <w:rPr>
          <w:rFonts w:ascii="Times New Roman" w:hAnsi="Times New Roman" w:eastAsia="Times New Roman" w:cs="Times New Roman"/>
          <w:b/>
          <w:bCs/>
          <w:sz w:val="20"/>
          <w:szCs w:val="20"/>
          <w:lang w:val="en-GB"/>
        </w:rPr>
        <w:t xml:space="preserve">                                                                                    APPENDIX</w:t>
      </w:r>
    </w:p>
    <w:p w14:paraId="48EFC27E">
      <w:pPr>
        <w:spacing w:before="0" w:beforeAutospacing="0" w:after="0" w:afterAutospacing="0"/>
        <w:ind w:right="0"/>
        <w:jc w:val="both"/>
        <w:rPr>
          <w:rFonts w:ascii="Times New Roman" w:hAnsi="Times New Roman" w:eastAsia="Times New Roman" w:cs="Times New Roman"/>
          <w:b/>
          <w:bCs/>
          <w:sz w:val="20"/>
          <w:szCs w:val="20"/>
          <w:lang w:val="en-GB"/>
        </w:rPr>
      </w:pPr>
    </w:p>
    <w:tbl>
      <w:tblPr>
        <w:tblStyle w:val="22"/>
        <w:tblW w:w="71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91"/>
        <w:gridCol w:w="3465"/>
      </w:tblGrid>
      <w:tr w14:paraId="12BA1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3691" w:type="dxa"/>
          </w:tcPr>
          <w:p w14:paraId="2AF17AD0">
            <w:pPr>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Channel Model</w:t>
            </w:r>
          </w:p>
        </w:tc>
        <w:tc>
          <w:tcPr>
            <w:tcW w:w="3465" w:type="dxa"/>
          </w:tcPr>
          <w:p w14:paraId="499E95C0">
            <w:pPr>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TDL A</w:t>
            </w:r>
          </w:p>
        </w:tc>
      </w:tr>
      <w:tr w14:paraId="56508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3691" w:type="dxa"/>
          </w:tcPr>
          <w:p w14:paraId="149A3639">
            <w:pPr>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Doppler</w:t>
            </w:r>
          </w:p>
        </w:tc>
        <w:tc>
          <w:tcPr>
            <w:tcW w:w="3465" w:type="dxa"/>
          </w:tcPr>
          <w:p w14:paraId="6FD8B984">
            <w:pPr>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4 Hz (vel 3 km/hr, Fc 1.44 GHz)</w:t>
            </w:r>
          </w:p>
        </w:tc>
      </w:tr>
      <w:tr w14:paraId="1FB28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3691" w:type="dxa"/>
          </w:tcPr>
          <w:p w14:paraId="3D5343A6">
            <w:pPr>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Subcarrier Spacing</w:t>
            </w:r>
          </w:p>
        </w:tc>
        <w:tc>
          <w:tcPr>
            <w:tcW w:w="3465" w:type="dxa"/>
          </w:tcPr>
          <w:p w14:paraId="0F7D4AEF">
            <w:pPr>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15 kHz</w:t>
            </w:r>
          </w:p>
        </w:tc>
      </w:tr>
      <w:tr w14:paraId="6D110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3691" w:type="dxa"/>
          </w:tcPr>
          <w:p w14:paraId="689EA9BE">
            <w:pPr>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FEC</w:t>
            </w:r>
          </w:p>
        </w:tc>
        <w:tc>
          <w:tcPr>
            <w:tcW w:w="3465" w:type="dxa"/>
          </w:tcPr>
          <w:p w14:paraId="383A3FA0">
            <w:pPr>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None</w:t>
            </w:r>
          </w:p>
        </w:tc>
      </w:tr>
      <w:tr w14:paraId="42509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3691" w:type="dxa"/>
          </w:tcPr>
          <w:p w14:paraId="4BE5CCEF">
            <w:pPr>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Repetition</w:t>
            </w:r>
          </w:p>
        </w:tc>
        <w:tc>
          <w:tcPr>
            <w:tcW w:w="3465" w:type="dxa"/>
          </w:tcPr>
          <w:p w14:paraId="6FFBEC94">
            <w:pPr>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None</w:t>
            </w:r>
          </w:p>
        </w:tc>
      </w:tr>
      <w:tr w14:paraId="78E05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3691" w:type="dxa"/>
          </w:tcPr>
          <w:p w14:paraId="1C00B615">
            <w:pPr>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Waveform</w:t>
            </w:r>
          </w:p>
        </w:tc>
        <w:tc>
          <w:tcPr>
            <w:tcW w:w="3465" w:type="dxa"/>
          </w:tcPr>
          <w:p w14:paraId="21BEA0A4">
            <w:pPr>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OOK1 (OFDM with CP)</w:t>
            </w:r>
          </w:p>
        </w:tc>
      </w:tr>
      <w:tr w14:paraId="5D7CF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3691" w:type="dxa"/>
          </w:tcPr>
          <w:p w14:paraId="7B1EF289">
            <w:pPr>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IFFT Size</w:t>
            </w:r>
          </w:p>
        </w:tc>
        <w:tc>
          <w:tcPr>
            <w:tcW w:w="3465" w:type="dxa"/>
          </w:tcPr>
          <w:p w14:paraId="71889C86">
            <w:pPr>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128</w:t>
            </w:r>
          </w:p>
        </w:tc>
      </w:tr>
      <w:tr w14:paraId="34089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3691" w:type="dxa"/>
          </w:tcPr>
          <w:p w14:paraId="3D362AEF">
            <w:pPr>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CP Length</w:t>
            </w:r>
          </w:p>
        </w:tc>
        <w:tc>
          <w:tcPr>
            <w:tcW w:w="3465" w:type="dxa"/>
          </w:tcPr>
          <w:p w14:paraId="09D2A56B">
            <w:pPr>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8</w:t>
            </w:r>
          </w:p>
        </w:tc>
      </w:tr>
    </w:tbl>
    <w:p w14:paraId="5DF9460A">
      <w:pPr>
        <w:suppressLineNumbers w:val="0"/>
        <w:bidi w:val="0"/>
        <w:spacing w:before="0" w:beforeAutospacing="0" w:after="0" w:afterAutospacing="0" w:line="259" w:lineRule="auto"/>
        <w:ind w:left="0" w:right="0"/>
        <w:jc w:val="both"/>
        <w:rPr>
          <w:rFonts w:ascii="Times New Roman" w:hAnsi="Times New Roman" w:eastAsia="Times New Roman" w:cs="Times New Roman"/>
          <w:sz w:val="20"/>
          <w:szCs w:val="20"/>
          <w:lang w:val="en-GB"/>
        </w:rPr>
      </w:pPr>
    </w:p>
    <w:p w14:paraId="1B8BDAD5">
      <w:pPr>
        <w:spacing w:before="0" w:beforeAutospacing="0" w:after="0" w:afterAutospacing="0"/>
        <w:ind w:right="0"/>
        <w:jc w:val="both"/>
        <w:rPr>
          <w:rFonts w:ascii="Times New Roman" w:hAnsi="Times New Roman" w:eastAsia="Times New Roman" w:cs="Times New Roman"/>
          <w:sz w:val="20"/>
          <w:szCs w:val="20"/>
          <w:lang w:val="en-GB"/>
        </w:rPr>
      </w:pPr>
    </w:p>
    <w:sectPr>
      <w:headerReference r:id="rId4" w:type="first"/>
      <w:footerReference r:id="rId6" w:type="first"/>
      <w:headerReference r:id="rId3" w:type="default"/>
      <w:footerReference r:id="rId5" w:type="default"/>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43"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Segoe UI">
    <w:panose1 w:val="020B0502040204020203"/>
    <w:charset w:val="00"/>
    <w:family w:val="swiss"/>
    <w:pitch w:val="default"/>
    <w:sig w:usb0="E4002EFF" w:usb1="C000E47F" w:usb2="00000009" w:usb3="00000000" w:csb0="200001FF" w:csb1="00000000"/>
  </w:font>
  <w:font w:name="MS Mincho">
    <w:panose1 w:val="02020609040205080304"/>
    <w:charset w:val="80"/>
    <w:family w:val="modern"/>
    <w:pitch w:val="default"/>
    <w:sig w:usb0="E00002FF" w:usb1="6AC7FDFB" w:usb2="08000012" w:usb3="00000000" w:csb0="4002009F" w:csb1="DFD7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2"/>
      <w:tblW w:w="0" w:type="auto"/>
      <w:tblInd w:w="0" w:type="dxa"/>
      <w:tblLayout w:type="fixed"/>
      <w:tblCellMar>
        <w:top w:w="0" w:type="dxa"/>
        <w:left w:w="108" w:type="dxa"/>
        <w:bottom w:w="0" w:type="dxa"/>
        <w:right w:w="108" w:type="dxa"/>
      </w:tblCellMar>
    </w:tblPr>
    <w:tblGrid>
      <w:gridCol w:w="3285"/>
      <w:gridCol w:w="3285"/>
      <w:gridCol w:w="3285"/>
    </w:tblGrid>
    <w:tr w14:paraId="51B85974">
      <w:tblPrEx>
        <w:tblCellMar>
          <w:top w:w="0" w:type="dxa"/>
          <w:left w:w="108" w:type="dxa"/>
          <w:bottom w:w="0" w:type="dxa"/>
          <w:right w:w="108" w:type="dxa"/>
        </w:tblCellMar>
      </w:tblPrEx>
      <w:trPr>
        <w:trHeight w:val="300" w:hRule="atLeast"/>
      </w:trPr>
      <w:tc>
        <w:tcPr>
          <w:tcW w:w="3285" w:type="dxa"/>
        </w:tcPr>
        <w:p w14:paraId="176602E0">
          <w:pPr>
            <w:pStyle w:val="18"/>
            <w:bidi w:val="0"/>
            <w:ind w:left="-115"/>
            <w:jc w:val="left"/>
          </w:pPr>
        </w:p>
      </w:tc>
      <w:tc>
        <w:tcPr>
          <w:tcW w:w="3285" w:type="dxa"/>
        </w:tcPr>
        <w:p w14:paraId="0674D1B4">
          <w:pPr>
            <w:pStyle w:val="18"/>
            <w:bidi w:val="0"/>
            <w:jc w:val="center"/>
          </w:pPr>
        </w:p>
      </w:tc>
      <w:tc>
        <w:tcPr>
          <w:tcW w:w="3285" w:type="dxa"/>
        </w:tcPr>
        <w:p w14:paraId="79F58C4F">
          <w:pPr>
            <w:pStyle w:val="18"/>
            <w:bidi w:val="0"/>
            <w:ind w:right="-115"/>
            <w:jc w:val="right"/>
          </w:pPr>
        </w:p>
      </w:tc>
    </w:tr>
  </w:tbl>
  <w:p w14:paraId="46A0FECF">
    <w:pPr>
      <w:pStyle w:val="17"/>
      <w:bidi w:val="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2"/>
      <w:tblW w:w="0" w:type="auto"/>
      <w:tblInd w:w="0" w:type="dxa"/>
      <w:tblLayout w:type="fixed"/>
      <w:tblCellMar>
        <w:top w:w="0" w:type="dxa"/>
        <w:left w:w="108" w:type="dxa"/>
        <w:bottom w:w="0" w:type="dxa"/>
        <w:right w:w="108" w:type="dxa"/>
      </w:tblCellMar>
    </w:tblPr>
    <w:tblGrid>
      <w:gridCol w:w="3285"/>
      <w:gridCol w:w="3285"/>
      <w:gridCol w:w="3285"/>
    </w:tblGrid>
    <w:tr w14:paraId="2024EC72">
      <w:tblPrEx>
        <w:tblCellMar>
          <w:top w:w="0" w:type="dxa"/>
          <w:left w:w="108" w:type="dxa"/>
          <w:bottom w:w="0" w:type="dxa"/>
          <w:right w:w="108" w:type="dxa"/>
        </w:tblCellMar>
      </w:tblPrEx>
      <w:trPr>
        <w:trHeight w:val="300" w:hRule="atLeast"/>
      </w:trPr>
      <w:tc>
        <w:tcPr>
          <w:tcW w:w="3285" w:type="dxa"/>
        </w:tcPr>
        <w:p w14:paraId="79BAC9F8">
          <w:pPr>
            <w:pStyle w:val="18"/>
            <w:bidi w:val="0"/>
            <w:ind w:left="-115"/>
            <w:jc w:val="left"/>
          </w:pPr>
        </w:p>
      </w:tc>
      <w:tc>
        <w:tcPr>
          <w:tcW w:w="3285" w:type="dxa"/>
        </w:tcPr>
        <w:p w14:paraId="17243BD9">
          <w:pPr>
            <w:pStyle w:val="18"/>
            <w:bidi w:val="0"/>
            <w:jc w:val="center"/>
          </w:pPr>
        </w:p>
      </w:tc>
      <w:tc>
        <w:tcPr>
          <w:tcW w:w="3285" w:type="dxa"/>
        </w:tcPr>
        <w:p w14:paraId="21E7F281">
          <w:pPr>
            <w:pStyle w:val="18"/>
            <w:bidi w:val="0"/>
            <w:ind w:right="-115"/>
            <w:jc w:val="right"/>
          </w:pPr>
        </w:p>
      </w:tc>
    </w:tr>
  </w:tbl>
  <w:p w14:paraId="2423EDA6">
    <w:pPr>
      <w:pStyle w:val="17"/>
      <w:bidi w:val="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2"/>
      <w:tblW w:w="0" w:type="auto"/>
      <w:tblInd w:w="0" w:type="dxa"/>
      <w:tblLayout w:type="fixed"/>
      <w:tblCellMar>
        <w:top w:w="0" w:type="dxa"/>
        <w:left w:w="108" w:type="dxa"/>
        <w:bottom w:w="0" w:type="dxa"/>
        <w:right w:w="108" w:type="dxa"/>
      </w:tblCellMar>
    </w:tblPr>
    <w:tblGrid>
      <w:gridCol w:w="3285"/>
      <w:gridCol w:w="3285"/>
      <w:gridCol w:w="3285"/>
    </w:tblGrid>
    <w:tr w14:paraId="145558C8">
      <w:tblPrEx>
        <w:tblCellMar>
          <w:top w:w="0" w:type="dxa"/>
          <w:left w:w="108" w:type="dxa"/>
          <w:bottom w:w="0" w:type="dxa"/>
          <w:right w:w="108" w:type="dxa"/>
        </w:tblCellMar>
      </w:tblPrEx>
      <w:trPr>
        <w:trHeight w:val="300" w:hRule="atLeast"/>
      </w:trPr>
      <w:tc>
        <w:tcPr>
          <w:tcW w:w="3285" w:type="dxa"/>
        </w:tcPr>
        <w:p w14:paraId="09D9A09E">
          <w:pPr>
            <w:pStyle w:val="18"/>
            <w:bidi w:val="0"/>
            <w:ind w:left="-115"/>
            <w:jc w:val="left"/>
          </w:pPr>
        </w:p>
      </w:tc>
      <w:tc>
        <w:tcPr>
          <w:tcW w:w="3285" w:type="dxa"/>
        </w:tcPr>
        <w:p w14:paraId="69826626">
          <w:pPr>
            <w:pStyle w:val="18"/>
            <w:bidi w:val="0"/>
            <w:jc w:val="center"/>
          </w:pPr>
        </w:p>
      </w:tc>
      <w:tc>
        <w:tcPr>
          <w:tcW w:w="3285" w:type="dxa"/>
        </w:tcPr>
        <w:p w14:paraId="3304EABA">
          <w:pPr>
            <w:pStyle w:val="18"/>
            <w:bidi w:val="0"/>
            <w:ind w:right="-115"/>
            <w:jc w:val="right"/>
          </w:pPr>
        </w:p>
      </w:tc>
    </w:tr>
  </w:tbl>
  <w:p w14:paraId="0BBDA3FF">
    <w:pPr>
      <w:pStyle w:val="18"/>
      <w:bidi w:val="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2"/>
      <w:tblW w:w="0" w:type="auto"/>
      <w:tblInd w:w="0" w:type="dxa"/>
      <w:tblLayout w:type="fixed"/>
      <w:tblCellMar>
        <w:top w:w="0" w:type="dxa"/>
        <w:left w:w="108" w:type="dxa"/>
        <w:bottom w:w="0" w:type="dxa"/>
        <w:right w:w="108" w:type="dxa"/>
      </w:tblCellMar>
    </w:tblPr>
    <w:tblGrid>
      <w:gridCol w:w="3285"/>
      <w:gridCol w:w="3285"/>
      <w:gridCol w:w="3285"/>
    </w:tblGrid>
    <w:tr w14:paraId="4834BAEB">
      <w:tblPrEx>
        <w:tblCellMar>
          <w:top w:w="0" w:type="dxa"/>
          <w:left w:w="108" w:type="dxa"/>
          <w:bottom w:w="0" w:type="dxa"/>
          <w:right w:w="108" w:type="dxa"/>
        </w:tblCellMar>
      </w:tblPrEx>
      <w:trPr>
        <w:trHeight w:val="300" w:hRule="atLeast"/>
      </w:trPr>
      <w:tc>
        <w:tcPr>
          <w:tcW w:w="3285" w:type="dxa"/>
        </w:tcPr>
        <w:p w14:paraId="2B05D0EC">
          <w:pPr>
            <w:pStyle w:val="18"/>
            <w:bidi w:val="0"/>
            <w:ind w:left="-115"/>
            <w:jc w:val="left"/>
          </w:pPr>
        </w:p>
      </w:tc>
      <w:tc>
        <w:tcPr>
          <w:tcW w:w="3285" w:type="dxa"/>
        </w:tcPr>
        <w:p w14:paraId="572C790B">
          <w:pPr>
            <w:pStyle w:val="18"/>
            <w:bidi w:val="0"/>
            <w:jc w:val="center"/>
          </w:pPr>
        </w:p>
      </w:tc>
      <w:tc>
        <w:tcPr>
          <w:tcW w:w="3285" w:type="dxa"/>
        </w:tcPr>
        <w:p w14:paraId="0E3EA55C">
          <w:pPr>
            <w:pStyle w:val="18"/>
            <w:bidi w:val="0"/>
            <w:ind w:right="-115"/>
            <w:jc w:val="right"/>
          </w:pPr>
        </w:p>
      </w:tc>
    </w:tr>
  </w:tbl>
  <w:p w14:paraId="0A8B4EB8">
    <w:pPr>
      <w:pStyle w:val="18"/>
      <w:bidi w:val="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33FD70"/>
    <w:multiLevelType w:val="multilevel"/>
    <w:tmpl w:val="0133FD7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1">
    <w:nsid w:val="04D2BACA"/>
    <w:multiLevelType w:val="multilevel"/>
    <w:tmpl w:val="04D2BAC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2">
    <w:nsid w:val="15CF4E86"/>
    <w:multiLevelType w:val="multilevel"/>
    <w:tmpl w:val="15CF4E8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Symbol" w:hAnsi="Symbol"/>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3">
    <w:nsid w:val="1B0A1344"/>
    <w:multiLevelType w:val="singleLevel"/>
    <w:tmpl w:val="1B0A1344"/>
    <w:lvl w:ilvl="0" w:tentative="0">
      <w:start w:val="1"/>
      <w:numFmt w:val="bullet"/>
      <w:pStyle w:val="30"/>
      <w:lvlText w:val=""/>
      <w:lvlJc w:val="left"/>
      <w:pPr>
        <w:tabs>
          <w:tab w:val="left" w:pos="0"/>
        </w:tabs>
        <w:ind w:left="1728" w:hanging="288"/>
      </w:pPr>
      <w:rPr>
        <w:rFonts w:hint="default" w:ascii="Monotype Sorts" w:hAnsi="Monotype Sorts"/>
      </w:rPr>
    </w:lvl>
  </w:abstractNum>
  <w:abstractNum w:abstractNumId="4">
    <w:nsid w:val="26E668DD"/>
    <w:multiLevelType w:val="multilevel"/>
    <w:tmpl w:val="26E668D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Symbol" w:hAnsi="Symbol"/>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5">
    <w:nsid w:val="338EA291"/>
    <w:multiLevelType w:val="multilevel"/>
    <w:tmpl w:val="338EA291"/>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rPr>
    </w:lvl>
    <w:lvl w:ilvl="8" w:tentative="0">
      <w:start w:val="1"/>
      <w:numFmt w:val="bullet"/>
      <w:lvlText w:val=""/>
      <w:lvlJc w:val="left"/>
      <w:pPr>
        <w:ind w:left="6840" w:hanging="360"/>
      </w:pPr>
      <w:rPr>
        <w:rFonts w:hint="default" w:ascii="Wingdings" w:hAnsi="Wingdings"/>
      </w:rPr>
    </w:lvl>
  </w:abstractNum>
  <w:abstractNum w:abstractNumId="6">
    <w:nsid w:val="3AF9A4CA"/>
    <w:multiLevelType w:val="multilevel"/>
    <w:tmpl w:val="3AF9A4CA"/>
    <w:lvl w:ilvl="0" w:tentative="0">
      <w:start w:val="1"/>
      <w:numFmt w:val="bullet"/>
      <w:lvlText w:val="o"/>
      <w:lvlJc w:val="left"/>
      <w:pPr>
        <w:ind w:left="1080" w:hanging="360"/>
      </w:pPr>
      <w:rPr>
        <w:rFonts w:hint="default" w:ascii="Courier New" w:hAnsi="Courier New"/>
      </w:rPr>
    </w:lvl>
    <w:lvl w:ilvl="1" w:tentative="0">
      <w:start w:val="1"/>
      <w:numFmt w:val="bullet"/>
      <w:lvlText w:val="o"/>
      <w:lvlJc w:val="left"/>
      <w:pPr>
        <w:ind w:left="1800" w:hanging="360"/>
      </w:pPr>
      <w:rPr>
        <w:rFonts w:hint="default" w:ascii="Courier New" w:hAnsi="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rPr>
    </w:lvl>
    <w:lvl w:ilvl="8" w:tentative="0">
      <w:start w:val="1"/>
      <w:numFmt w:val="bullet"/>
      <w:lvlText w:val=""/>
      <w:lvlJc w:val="left"/>
      <w:pPr>
        <w:ind w:left="6840" w:hanging="360"/>
      </w:pPr>
      <w:rPr>
        <w:rFonts w:hint="default" w:ascii="Wingdings" w:hAnsi="Wingdings"/>
      </w:rPr>
    </w:lvl>
  </w:abstractNum>
  <w:abstractNum w:abstractNumId="7">
    <w:nsid w:val="41C91224"/>
    <w:multiLevelType w:val="multilevel"/>
    <w:tmpl w:val="41C9122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8">
    <w:nsid w:val="41CA2C26"/>
    <w:multiLevelType w:val="singleLevel"/>
    <w:tmpl w:val="41CA2C26"/>
    <w:lvl w:ilvl="0" w:tentative="0">
      <w:start w:val="1"/>
      <w:numFmt w:val="bullet"/>
      <w:pStyle w:val="28"/>
      <w:lvlText w:val=""/>
      <w:lvlJc w:val="left"/>
      <w:pPr>
        <w:tabs>
          <w:tab w:val="left" w:pos="360"/>
        </w:tabs>
        <w:ind w:left="360" w:hanging="360"/>
      </w:pPr>
      <w:rPr>
        <w:rFonts w:hint="default" w:ascii="Webdings" w:hAnsi="Webdings"/>
      </w:rPr>
    </w:lvl>
  </w:abstractNum>
  <w:abstractNum w:abstractNumId="9">
    <w:nsid w:val="4BF5442F"/>
    <w:multiLevelType w:val="multilevel"/>
    <w:tmpl w:val="4BF5442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Symbol" w:hAnsi="Symbol"/>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10">
    <w:nsid w:val="4D0FDE04"/>
    <w:multiLevelType w:val="multilevel"/>
    <w:tmpl w:val="4D0FDE04"/>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rPr>
    </w:lvl>
    <w:lvl w:ilvl="8" w:tentative="0">
      <w:start w:val="1"/>
      <w:numFmt w:val="bullet"/>
      <w:lvlText w:val=""/>
      <w:lvlJc w:val="left"/>
      <w:pPr>
        <w:ind w:left="6840" w:hanging="360"/>
      </w:pPr>
      <w:rPr>
        <w:rFonts w:hint="default" w:ascii="Wingdings" w:hAnsi="Wingdings"/>
      </w:rPr>
    </w:lvl>
  </w:abstractNum>
  <w:abstractNum w:abstractNumId="11">
    <w:nsid w:val="549A69FD"/>
    <w:multiLevelType w:val="multilevel"/>
    <w:tmpl w:val="549A69FD"/>
    <w:lvl w:ilvl="0" w:tentative="0">
      <w:start w:val="5"/>
      <w:numFmt w:val="decimal"/>
      <w:pStyle w:val="29"/>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12">
    <w:nsid w:val="56D61B94"/>
    <w:multiLevelType w:val="multilevel"/>
    <w:tmpl w:val="56D61B9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5B896779"/>
    <w:multiLevelType w:val="multilevel"/>
    <w:tmpl w:val="5B89677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63690C9E"/>
    <w:multiLevelType w:val="singleLevel"/>
    <w:tmpl w:val="63690C9E"/>
    <w:lvl w:ilvl="0" w:tentative="0">
      <w:start w:val="1"/>
      <w:numFmt w:val="bullet"/>
      <w:pStyle w:val="27"/>
      <w:lvlText w:val=""/>
      <w:lvlJc w:val="left"/>
      <w:pPr>
        <w:tabs>
          <w:tab w:val="left" w:pos="360"/>
        </w:tabs>
        <w:ind w:left="360" w:hanging="360"/>
      </w:pPr>
      <w:rPr>
        <w:rFonts w:hint="default" w:ascii="Wingdings" w:hAnsi="Wingdings"/>
      </w:rPr>
    </w:lvl>
  </w:abstractNum>
  <w:abstractNum w:abstractNumId="15">
    <w:nsid w:val="6560677A"/>
    <w:multiLevelType w:val="multilevel"/>
    <w:tmpl w:val="6560677A"/>
    <w:lvl w:ilvl="0" w:tentative="0">
      <w:start w:val="1"/>
      <w:numFmt w:val="bullet"/>
      <w:lvlText w:val="o"/>
      <w:lvlJc w:val="left"/>
      <w:pPr>
        <w:ind w:left="1080" w:hanging="360"/>
      </w:pPr>
      <w:rPr>
        <w:rFonts w:hint="default" w:ascii="Courier New" w:hAnsi="Courier New"/>
      </w:rPr>
    </w:lvl>
    <w:lvl w:ilvl="1" w:tentative="0">
      <w:start w:val="1"/>
      <w:numFmt w:val="bullet"/>
      <w:lvlText w:val="o"/>
      <w:lvlJc w:val="left"/>
      <w:pPr>
        <w:ind w:left="1800" w:hanging="360"/>
      </w:pPr>
      <w:rPr>
        <w:rFonts w:hint="default" w:ascii="Courier New" w:hAnsi="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rPr>
    </w:lvl>
    <w:lvl w:ilvl="8" w:tentative="0">
      <w:start w:val="1"/>
      <w:numFmt w:val="bullet"/>
      <w:lvlText w:val=""/>
      <w:lvlJc w:val="left"/>
      <w:pPr>
        <w:ind w:left="6840" w:hanging="360"/>
      </w:pPr>
      <w:rPr>
        <w:rFonts w:hint="default" w:ascii="Wingdings" w:hAnsi="Wingdings"/>
      </w:rPr>
    </w:lvl>
  </w:abstractNum>
  <w:abstractNum w:abstractNumId="16">
    <w:nsid w:val="726423EC"/>
    <w:multiLevelType w:val="multilevel"/>
    <w:tmpl w:val="726423E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17">
    <w:nsid w:val="7427C224"/>
    <w:multiLevelType w:val="multilevel"/>
    <w:tmpl w:val="7427C224"/>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74972232"/>
    <w:multiLevelType w:val="multilevel"/>
    <w:tmpl w:val="7497223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num w:numId="1">
    <w:abstractNumId w:val="14"/>
  </w:num>
  <w:num w:numId="2">
    <w:abstractNumId w:val="8"/>
  </w:num>
  <w:num w:numId="3">
    <w:abstractNumId w:val="11"/>
  </w:num>
  <w:num w:numId="4">
    <w:abstractNumId w:val="3"/>
  </w:num>
  <w:num w:numId="5">
    <w:abstractNumId w:val="7"/>
  </w:num>
  <w:num w:numId="6">
    <w:abstractNumId w:val="5"/>
  </w:num>
  <w:num w:numId="7">
    <w:abstractNumId w:val="6"/>
  </w:num>
  <w:num w:numId="8">
    <w:abstractNumId w:val="10"/>
  </w:num>
  <w:num w:numId="9">
    <w:abstractNumId w:val="15"/>
  </w:num>
  <w:num w:numId="10">
    <w:abstractNumId w:val="4"/>
  </w:num>
  <w:num w:numId="11">
    <w:abstractNumId w:val="2"/>
  </w:num>
  <w:num w:numId="12">
    <w:abstractNumId w:val="1"/>
  </w:num>
  <w:num w:numId="13">
    <w:abstractNumId w:val="13"/>
  </w:num>
  <w:num w:numId="14">
    <w:abstractNumId w:val="12"/>
  </w:num>
  <w:num w:numId="15">
    <w:abstractNumId w:val="18"/>
  </w:num>
  <w:num w:numId="16">
    <w:abstractNumId w:val="9"/>
  </w:num>
  <w:num w:numId="17">
    <w:abstractNumId w:val="0"/>
  </w:num>
  <w:num w:numId="18">
    <w:abstractNumId w:val="16"/>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122F5"/>
    <w:rsid w:val="003816FA"/>
    <w:rsid w:val="003B1EFB"/>
    <w:rsid w:val="0043A867"/>
    <w:rsid w:val="004532E8"/>
    <w:rsid w:val="004607C3"/>
    <w:rsid w:val="005D20F1"/>
    <w:rsid w:val="005F057C"/>
    <w:rsid w:val="00A361F7"/>
    <w:rsid w:val="00A507E5"/>
    <w:rsid w:val="00AE54EF"/>
    <w:rsid w:val="00B11F57"/>
    <w:rsid w:val="00B64E2F"/>
    <w:rsid w:val="00F5071B"/>
    <w:rsid w:val="00F975A0"/>
    <w:rsid w:val="01104787"/>
    <w:rsid w:val="013FA4C4"/>
    <w:rsid w:val="01570831"/>
    <w:rsid w:val="01727C49"/>
    <w:rsid w:val="017A1782"/>
    <w:rsid w:val="01C76719"/>
    <w:rsid w:val="01DE7783"/>
    <w:rsid w:val="01E4B51B"/>
    <w:rsid w:val="0216F9EF"/>
    <w:rsid w:val="022BFA8A"/>
    <w:rsid w:val="022CED77"/>
    <w:rsid w:val="023B440A"/>
    <w:rsid w:val="02688700"/>
    <w:rsid w:val="029494AA"/>
    <w:rsid w:val="029C2B65"/>
    <w:rsid w:val="03024AB0"/>
    <w:rsid w:val="0334EF36"/>
    <w:rsid w:val="0385F28B"/>
    <w:rsid w:val="038AF015"/>
    <w:rsid w:val="038C01E6"/>
    <w:rsid w:val="03C09B3F"/>
    <w:rsid w:val="03CBA4B0"/>
    <w:rsid w:val="03CD83D5"/>
    <w:rsid w:val="03DE7C4D"/>
    <w:rsid w:val="03FCFD5E"/>
    <w:rsid w:val="03FFD797"/>
    <w:rsid w:val="0403525B"/>
    <w:rsid w:val="044C27CE"/>
    <w:rsid w:val="0465FA77"/>
    <w:rsid w:val="0473F7D9"/>
    <w:rsid w:val="04B09736"/>
    <w:rsid w:val="04FFAAF4"/>
    <w:rsid w:val="0516D03D"/>
    <w:rsid w:val="055F8CFF"/>
    <w:rsid w:val="05A82F92"/>
    <w:rsid w:val="0620410D"/>
    <w:rsid w:val="064C6797"/>
    <w:rsid w:val="06510558"/>
    <w:rsid w:val="065BFA52"/>
    <w:rsid w:val="068B21B7"/>
    <w:rsid w:val="068BCD08"/>
    <w:rsid w:val="06F2C2D2"/>
    <w:rsid w:val="07210527"/>
    <w:rsid w:val="0764F4CA"/>
    <w:rsid w:val="076781D3"/>
    <w:rsid w:val="0790D6CF"/>
    <w:rsid w:val="0793B714"/>
    <w:rsid w:val="07C1E00D"/>
    <w:rsid w:val="07D05A46"/>
    <w:rsid w:val="07F9ABC7"/>
    <w:rsid w:val="080FFE8F"/>
    <w:rsid w:val="08286D55"/>
    <w:rsid w:val="0831B7CF"/>
    <w:rsid w:val="086511DB"/>
    <w:rsid w:val="08A27B11"/>
    <w:rsid w:val="08BC04BD"/>
    <w:rsid w:val="092A40BE"/>
    <w:rsid w:val="0930D574"/>
    <w:rsid w:val="09323430"/>
    <w:rsid w:val="093B8306"/>
    <w:rsid w:val="0940BFCF"/>
    <w:rsid w:val="09569263"/>
    <w:rsid w:val="097D217A"/>
    <w:rsid w:val="0996EF5F"/>
    <w:rsid w:val="09C36DCA"/>
    <w:rsid w:val="0A2647A0"/>
    <w:rsid w:val="0A26FEF7"/>
    <w:rsid w:val="0A2F2586"/>
    <w:rsid w:val="0A4BF22D"/>
    <w:rsid w:val="0A6466D2"/>
    <w:rsid w:val="0A665E09"/>
    <w:rsid w:val="0A7C03BC"/>
    <w:rsid w:val="0A81E040"/>
    <w:rsid w:val="0A840A14"/>
    <w:rsid w:val="0A876E3E"/>
    <w:rsid w:val="0A921216"/>
    <w:rsid w:val="0A945537"/>
    <w:rsid w:val="0AB63AF3"/>
    <w:rsid w:val="0AFA5BC2"/>
    <w:rsid w:val="0B079708"/>
    <w:rsid w:val="0B1DC5B5"/>
    <w:rsid w:val="0B3CE855"/>
    <w:rsid w:val="0B404673"/>
    <w:rsid w:val="0B777F9F"/>
    <w:rsid w:val="0B8573C4"/>
    <w:rsid w:val="0BA2EF40"/>
    <w:rsid w:val="0BE3A3A3"/>
    <w:rsid w:val="0BF783CB"/>
    <w:rsid w:val="0C01695A"/>
    <w:rsid w:val="0C0E7874"/>
    <w:rsid w:val="0C159D10"/>
    <w:rsid w:val="0C1BC659"/>
    <w:rsid w:val="0C25418D"/>
    <w:rsid w:val="0C2A8FA5"/>
    <w:rsid w:val="0C6ACAD3"/>
    <w:rsid w:val="0C738912"/>
    <w:rsid w:val="0C9700E8"/>
    <w:rsid w:val="0CBEE67C"/>
    <w:rsid w:val="0CC3584B"/>
    <w:rsid w:val="0CE1A903"/>
    <w:rsid w:val="0CE753FB"/>
    <w:rsid w:val="0CEBD96B"/>
    <w:rsid w:val="0D3A6033"/>
    <w:rsid w:val="0D46BC04"/>
    <w:rsid w:val="0D4D6FC4"/>
    <w:rsid w:val="0D4F6F06"/>
    <w:rsid w:val="0D90E1FF"/>
    <w:rsid w:val="0D9D8AF1"/>
    <w:rsid w:val="0DB14DB3"/>
    <w:rsid w:val="0DE54A03"/>
    <w:rsid w:val="0DFB46E9"/>
    <w:rsid w:val="0E0BA81E"/>
    <w:rsid w:val="0E121C0E"/>
    <w:rsid w:val="0E2B9457"/>
    <w:rsid w:val="0E2C724F"/>
    <w:rsid w:val="0E35E6F5"/>
    <w:rsid w:val="0E39D593"/>
    <w:rsid w:val="0E61120E"/>
    <w:rsid w:val="0E62EEF8"/>
    <w:rsid w:val="0E713FF1"/>
    <w:rsid w:val="0E7352E3"/>
    <w:rsid w:val="0E997421"/>
    <w:rsid w:val="0E9F7611"/>
    <w:rsid w:val="0EBF4D6F"/>
    <w:rsid w:val="0EC1BEBB"/>
    <w:rsid w:val="0ED1B946"/>
    <w:rsid w:val="0F0B31E9"/>
    <w:rsid w:val="0F2A83D8"/>
    <w:rsid w:val="0F382941"/>
    <w:rsid w:val="0F9977DF"/>
    <w:rsid w:val="0FB216C1"/>
    <w:rsid w:val="0FBD78DE"/>
    <w:rsid w:val="0FD90E47"/>
    <w:rsid w:val="0FE2C964"/>
    <w:rsid w:val="0FEAE8AC"/>
    <w:rsid w:val="1015339B"/>
    <w:rsid w:val="102460FD"/>
    <w:rsid w:val="102B477E"/>
    <w:rsid w:val="1051735F"/>
    <w:rsid w:val="10659E39"/>
    <w:rsid w:val="106C3268"/>
    <w:rsid w:val="1083EA9C"/>
    <w:rsid w:val="10D68B7A"/>
    <w:rsid w:val="10DCB8B6"/>
    <w:rsid w:val="10F3D32E"/>
    <w:rsid w:val="1108819E"/>
    <w:rsid w:val="111ED3D8"/>
    <w:rsid w:val="11334D15"/>
    <w:rsid w:val="1147D98A"/>
    <w:rsid w:val="1156AB98"/>
    <w:rsid w:val="116DC172"/>
    <w:rsid w:val="1189C2E0"/>
    <w:rsid w:val="11906262"/>
    <w:rsid w:val="1198811B"/>
    <w:rsid w:val="11BFDBEA"/>
    <w:rsid w:val="11CB5135"/>
    <w:rsid w:val="11D1DD4E"/>
    <w:rsid w:val="128E3DD0"/>
    <w:rsid w:val="12BE092A"/>
    <w:rsid w:val="12C4EF9F"/>
    <w:rsid w:val="12E29567"/>
    <w:rsid w:val="12E51F75"/>
    <w:rsid w:val="1305A5C1"/>
    <w:rsid w:val="132A95E6"/>
    <w:rsid w:val="132EC4E9"/>
    <w:rsid w:val="133FDFFF"/>
    <w:rsid w:val="1365BDBC"/>
    <w:rsid w:val="13957743"/>
    <w:rsid w:val="13B0BCB7"/>
    <w:rsid w:val="13CFE592"/>
    <w:rsid w:val="13EF375B"/>
    <w:rsid w:val="14036A5C"/>
    <w:rsid w:val="1456EE4F"/>
    <w:rsid w:val="1459D98B"/>
    <w:rsid w:val="145B136F"/>
    <w:rsid w:val="1493A59B"/>
    <w:rsid w:val="14C2ED3D"/>
    <w:rsid w:val="14ED0DFC"/>
    <w:rsid w:val="14FB2853"/>
    <w:rsid w:val="152E2997"/>
    <w:rsid w:val="15BD23DC"/>
    <w:rsid w:val="15D30F7A"/>
    <w:rsid w:val="15F7CF69"/>
    <w:rsid w:val="15FA874E"/>
    <w:rsid w:val="1608A56C"/>
    <w:rsid w:val="160BAB99"/>
    <w:rsid w:val="1635EC5A"/>
    <w:rsid w:val="16607536"/>
    <w:rsid w:val="1660FBF7"/>
    <w:rsid w:val="1669C96C"/>
    <w:rsid w:val="16B789D7"/>
    <w:rsid w:val="16BC21EA"/>
    <w:rsid w:val="16BF694F"/>
    <w:rsid w:val="16C4AFBD"/>
    <w:rsid w:val="16F64BA2"/>
    <w:rsid w:val="16F8C8DD"/>
    <w:rsid w:val="170D9F9A"/>
    <w:rsid w:val="172613F9"/>
    <w:rsid w:val="172AC483"/>
    <w:rsid w:val="173B0B1E"/>
    <w:rsid w:val="173E7B8E"/>
    <w:rsid w:val="174AA7BE"/>
    <w:rsid w:val="17506379"/>
    <w:rsid w:val="17650721"/>
    <w:rsid w:val="1778E258"/>
    <w:rsid w:val="178E0BF2"/>
    <w:rsid w:val="1793859B"/>
    <w:rsid w:val="17AF2C6B"/>
    <w:rsid w:val="17C07D0B"/>
    <w:rsid w:val="180ADF5C"/>
    <w:rsid w:val="181397DF"/>
    <w:rsid w:val="184CFB37"/>
    <w:rsid w:val="185F4DB5"/>
    <w:rsid w:val="18C59103"/>
    <w:rsid w:val="192FB4E7"/>
    <w:rsid w:val="194AC2D3"/>
    <w:rsid w:val="19B14D7A"/>
    <w:rsid w:val="19D9AD17"/>
    <w:rsid w:val="19EB65DC"/>
    <w:rsid w:val="19FBBFFC"/>
    <w:rsid w:val="1A1A56F7"/>
    <w:rsid w:val="1A4115FB"/>
    <w:rsid w:val="1A6522F8"/>
    <w:rsid w:val="1A72ABE0"/>
    <w:rsid w:val="1A7D6A3B"/>
    <w:rsid w:val="1ABDADF3"/>
    <w:rsid w:val="1ABF8A4B"/>
    <w:rsid w:val="1B22CD62"/>
    <w:rsid w:val="1B3F3CDB"/>
    <w:rsid w:val="1B579A9F"/>
    <w:rsid w:val="1B7B8EC5"/>
    <w:rsid w:val="1B953F4D"/>
    <w:rsid w:val="1B9CB176"/>
    <w:rsid w:val="1BAEBC37"/>
    <w:rsid w:val="1BDB2AEC"/>
    <w:rsid w:val="1BFA4AC2"/>
    <w:rsid w:val="1C3A8DCB"/>
    <w:rsid w:val="1C4BC196"/>
    <w:rsid w:val="1C60B19D"/>
    <w:rsid w:val="1C941169"/>
    <w:rsid w:val="1CBB591B"/>
    <w:rsid w:val="1CCDAFF9"/>
    <w:rsid w:val="1CE9C359"/>
    <w:rsid w:val="1D32D5DC"/>
    <w:rsid w:val="1D51AB7D"/>
    <w:rsid w:val="1D78300C"/>
    <w:rsid w:val="1D799ACF"/>
    <w:rsid w:val="1D86E5E9"/>
    <w:rsid w:val="1D89310E"/>
    <w:rsid w:val="1DC3A26D"/>
    <w:rsid w:val="1DC5EE35"/>
    <w:rsid w:val="1DE2D22D"/>
    <w:rsid w:val="1DF2479E"/>
    <w:rsid w:val="1E0C7EA9"/>
    <w:rsid w:val="1E146285"/>
    <w:rsid w:val="1E2A9E22"/>
    <w:rsid w:val="1E399C5A"/>
    <w:rsid w:val="1E3B3C6A"/>
    <w:rsid w:val="1E5B6D2C"/>
    <w:rsid w:val="1E8812FE"/>
    <w:rsid w:val="1E95168E"/>
    <w:rsid w:val="1ED1AED6"/>
    <w:rsid w:val="1EDD5F96"/>
    <w:rsid w:val="1EF8DF2E"/>
    <w:rsid w:val="1EFEB2A5"/>
    <w:rsid w:val="1F480F54"/>
    <w:rsid w:val="1F504443"/>
    <w:rsid w:val="1FBA811A"/>
    <w:rsid w:val="1FE1FD46"/>
    <w:rsid w:val="1FF5AF7A"/>
    <w:rsid w:val="1FFDFBB1"/>
    <w:rsid w:val="20408839"/>
    <w:rsid w:val="20543877"/>
    <w:rsid w:val="207D9B85"/>
    <w:rsid w:val="2086D5EB"/>
    <w:rsid w:val="209EAACF"/>
    <w:rsid w:val="20EF086B"/>
    <w:rsid w:val="20FC227C"/>
    <w:rsid w:val="20FD257A"/>
    <w:rsid w:val="2128FE95"/>
    <w:rsid w:val="2129E860"/>
    <w:rsid w:val="2144684B"/>
    <w:rsid w:val="2168D01A"/>
    <w:rsid w:val="217DF397"/>
    <w:rsid w:val="21C87074"/>
    <w:rsid w:val="2203D7E4"/>
    <w:rsid w:val="22090AE7"/>
    <w:rsid w:val="2225FC5D"/>
    <w:rsid w:val="22562365"/>
    <w:rsid w:val="22619F57"/>
    <w:rsid w:val="22C98301"/>
    <w:rsid w:val="22CB2AC4"/>
    <w:rsid w:val="22CFB101"/>
    <w:rsid w:val="23397200"/>
    <w:rsid w:val="23612F1B"/>
    <w:rsid w:val="2365A18D"/>
    <w:rsid w:val="23774ECB"/>
    <w:rsid w:val="237BB7D7"/>
    <w:rsid w:val="23BF27DE"/>
    <w:rsid w:val="23C811D6"/>
    <w:rsid w:val="23D86075"/>
    <w:rsid w:val="24023E0F"/>
    <w:rsid w:val="241DB1AD"/>
    <w:rsid w:val="242DD833"/>
    <w:rsid w:val="2431BC3A"/>
    <w:rsid w:val="2441491D"/>
    <w:rsid w:val="2446CF4C"/>
    <w:rsid w:val="245AFDC1"/>
    <w:rsid w:val="2469F668"/>
    <w:rsid w:val="24794B9F"/>
    <w:rsid w:val="24864685"/>
    <w:rsid w:val="24BBB5AA"/>
    <w:rsid w:val="24DFC7CF"/>
    <w:rsid w:val="25111B1F"/>
    <w:rsid w:val="251645D4"/>
    <w:rsid w:val="252339CC"/>
    <w:rsid w:val="256B4709"/>
    <w:rsid w:val="256B7515"/>
    <w:rsid w:val="256F0FEB"/>
    <w:rsid w:val="25790C2D"/>
    <w:rsid w:val="258C084F"/>
    <w:rsid w:val="25946030"/>
    <w:rsid w:val="259EB9E8"/>
    <w:rsid w:val="25AEBE53"/>
    <w:rsid w:val="25B0915C"/>
    <w:rsid w:val="25CB85F6"/>
    <w:rsid w:val="26D10E42"/>
    <w:rsid w:val="27036A85"/>
    <w:rsid w:val="271E9F0B"/>
    <w:rsid w:val="2790BD6F"/>
    <w:rsid w:val="279642F3"/>
    <w:rsid w:val="2798DCCB"/>
    <w:rsid w:val="27D6D9D1"/>
    <w:rsid w:val="28087161"/>
    <w:rsid w:val="283B3F61"/>
    <w:rsid w:val="28580410"/>
    <w:rsid w:val="28A3267A"/>
    <w:rsid w:val="28A8227D"/>
    <w:rsid w:val="28B1F59C"/>
    <w:rsid w:val="293A71CD"/>
    <w:rsid w:val="293C8684"/>
    <w:rsid w:val="294CD124"/>
    <w:rsid w:val="296AEBC6"/>
    <w:rsid w:val="296B8CF3"/>
    <w:rsid w:val="2985783F"/>
    <w:rsid w:val="2999B27B"/>
    <w:rsid w:val="29C869A0"/>
    <w:rsid w:val="29E1E74F"/>
    <w:rsid w:val="2A022053"/>
    <w:rsid w:val="2A0298EA"/>
    <w:rsid w:val="2A591136"/>
    <w:rsid w:val="2A95B510"/>
    <w:rsid w:val="2ABB0E79"/>
    <w:rsid w:val="2AD07D8D"/>
    <w:rsid w:val="2ADBE4EF"/>
    <w:rsid w:val="2B1F53F7"/>
    <w:rsid w:val="2B44C383"/>
    <w:rsid w:val="2B4ABD27"/>
    <w:rsid w:val="2B8DAD2F"/>
    <w:rsid w:val="2BA60D14"/>
    <w:rsid w:val="2BB2C6F2"/>
    <w:rsid w:val="2BB50EEB"/>
    <w:rsid w:val="2BBEF1E5"/>
    <w:rsid w:val="2BCF7C67"/>
    <w:rsid w:val="2BD1D392"/>
    <w:rsid w:val="2BDF9B55"/>
    <w:rsid w:val="2C0908FE"/>
    <w:rsid w:val="2C0D7BF7"/>
    <w:rsid w:val="2C2B9461"/>
    <w:rsid w:val="2C52DEFF"/>
    <w:rsid w:val="2C93485E"/>
    <w:rsid w:val="2C9645A5"/>
    <w:rsid w:val="2CD6C093"/>
    <w:rsid w:val="2CE087F1"/>
    <w:rsid w:val="2D2A2DAF"/>
    <w:rsid w:val="2D3855B0"/>
    <w:rsid w:val="2D9966D2"/>
    <w:rsid w:val="2E03327A"/>
    <w:rsid w:val="2E11F1D8"/>
    <w:rsid w:val="2E4819F8"/>
    <w:rsid w:val="2E5C3186"/>
    <w:rsid w:val="2E98DB99"/>
    <w:rsid w:val="2EB682C0"/>
    <w:rsid w:val="2EF01A7E"/>
    <w:rsid w:val="2EF18A29"/>
    <w:rsid w:val="2F190A67"/>
    <w:rsid w:val="2F4D04E7"/>
    <w:rsid w:val="2F65C6B8"/>
    <w:rsid w:val="2F80F2B7"/>
    <w:rsid w:val="2FC0BACC"/>
    <w:rsid w:val="2FD293E3"/>
    <w:rsid w:val="3002D30F"/>
    <w:rsid w:val="3056AD5F"/>
    <w:rsid w:val="307B00B2"/>
    <w:rsid w:val="3082800C"/>
    <w:rsid w:val="308EF454"/>
    <w:rsid w:val="309BA63C"/>
    <w:rsid w:val="309F6BFC"/>
    <w:rsid w:val="30A02FEE"/>
    <w:rsid w:val="30B4389D"/>
    <w:rsid w:val="30BD5697"/>
    <w:rsid w:val="30EC544E"/>
    <w:rsid w:val="31111EDE"/>
    <w:rsid w:val="31511122"/>
    <w:rsid w:val="315D315C"/>
    <w:rsid w:val="316D51D9"/>
    <w:rsid w:val="3175E17E"/>
    <w:rsid w:val="31809794"/>
    <w:rsid w:val="31856F99"/>
    <w:rsid w:val="31C56E1A"/>
    <w:rsid w:val="31DF4C9C"/>
    <w:rsid w:val="31EFD7BA"/>
    <w:rsid w:val="31FAA005"/>
    <w:rsid w:val="3210B6F2"/>
    <w:rsid w:val="321A056B"/>
    <w:rsid w:val="325008FE"/>
    <w:rsid w:val="32591238"/>
    <w:rsid w:val="32752F79"/>
    <w:rsid w:val="3286366A"/>
    <w:rsid w:val="329D3A73"/>
    <w:rsid w:val="32BE4C9E"/>
    <w:rsid w:val="32D5AD58"/>
    <w:rsid w:val="32D848DC"/>
    <w:rsid w:val="32FA07F6"/>
    <w:rsid w:val="33039AFC"/>
    <w:rsid w:val="33114BFA"/>
    <w:rsid w:val="331A19E1"/>
    <w:rsid w:val="33249E90"/>
    <w:rsid w:val="33304F71"/>
    <w:rsid w:val="33306CE2"/>
    <w:rsid w:val="3330E9D0"/>
    <w:rsid w:val="333D4685"/>
    <w:rsid w:val="334289E9"/>
    <w:rsid w:val="335553C8"/>
    <w:rsid w:val="3357FD12"/>
    <w:rsid w:val="3368EDF7"/>
    <w:rsid w:val="33984D23"/>
    <w:rsid w:val="33A46E61"/>
    <w:rsid w:val="33ABBC0D"/>
    <w:rsid w:val="33F9AC19"/>
    <w:rsid w:val="34392739"/>
    <w:rsid w:val="343E9CA3"/>
    <w:rsid w:val="345D3EA1"/>
    <w:rsid w:val="345FF763"/>
    <w:rsid w:val="348A5049"/>
    <w:rsid w:val="34B45FDA"/>
    <w:rsid w:val="34B895C6"/>
    <w:rsid w:val="34C4EAAF"/>
    <w:rsid w:val="34E67138"/>
    <w:rsid w:val="3513CF33"/>
    <w:rsid w:val="351C3650"/>
    <w:rsid w:val="3524FE9A"/>
    <w:rsid w:val="3588C5CB"/>
    <w:rsid w:val="358BB49E"/>
    <w:rsid w:val="358E0527"/>
    <w:rsid w:val="35B4438D"/>
    <w:rsid w:val="35C3F0EC"/>
    <w:rsid w:val="3616851F"/>
    <w:rsid w:val="361B7169"/>
    <w:rsid w:val="36316235"/>
    <w:rsid w:val="36319EB4"/>
    <w:rsid w:val="36783795"/>
    <w:rsid w:val="368CF48A"/>
    <w:rsid w:val="370D29E1"/>
    <w:rsid w:val="3716C21B"/>
    <w:rsid w:val="372E1A15"/>
    <w:rsid w:val="3731626D"/>
    <w:rsid w:val="3755BA40"/>
    <w:rsid w:val="377C8CB0"/>
    <w:rsid w:val="377E8724"/>
    <w:rsid w:val="37979825"/>
    <w:rsid w:val="37B6D891"/>
    <w:rsid w:val="37C31688"/>
    <w:rsid w:val="37F9F74B"/>
    <w:rsid w:val="3817A783"/>
    <w:rsid w:val="3822F956"/>
    <w:rsid w:val="383B9959"/>
    <w:rsid w:val="3855A62F"/>
    <w:rsid w:val="3869E189"/>
    <w:rsid w:val="3876AF23"/>
    <w:rsid w:val="388423C8"/>
    <w:rsid w:val="3884793B"/>
    <w:rsid w:val="38906630"/>
    <w:rsid w:val="38BE2CDD"/>
    <w:rsid w:val="38C373D1"/>
    <w:rsid w:val="38C43F28"/>
    <w:rsid w:val="38D4E45F"/>
    <w:rsid w:val="38FC7D2B"/>
    <w:rsid w:val="392F6898"/>
    <w:rsid w:val="39336886"/>
    <w:rsid w:val="393C8E99"/>
    <w:rsid w:val="3941111D"/>
    <w:rsid w:val="399130F9"/>
    <w:rsid w:val="3998FEB0"/>
    <w:rsid w:val="39D9351F"/>
    <w:rsid w:val="39FEA6DC"/>
    <w:rsid w:val="3A1DF0E9"/>
    <w:rsid w:val="3A66E863"/>
    <w:rsid w:val="3A66F1BF"/>
    <w:rsid w:val="3A6E2B23"/>
    <w:rsid w:val="3AA87268"/>
    <w:rsid w:val="3AB84268"/>
    <w:rsid w:val="3ACB124B"/>
    <w:rsid w:val="3B10829D"/>
    <w:rsid w:val="3B2566F6"/>
    <w:rsid w:val="3B407B7C"/>
    <w:rsid w:val="3B85DBB1"/>
    <w:rsid w:val="3BA41245"/>
    <w:rsid w:val="3BD03676"/>
    <w:rsid w:val="3BDFA69F"/>
    <w:rsid w:val="3C390F0F"/>
    <w:rsid w:val="3C3AA362"/>
    <w:rsid w:val="3C7F011D"/>
    <w:rsid w:val="3CB306F5"/>
    <w:rsid w:val="3CB45BC0"/>
    <w:rsid w:val="3CD3FBD7"/>
    <w:rsid w:val="3CE340EB"/>
    <w:rsid w:val="3CEC77CC"/>
    <w:rsid w:val="3CF356E0"/>
    <w:rsid w:val="3D544EFF"/>
    <w:rsid w:val="3D83581B"/>
    <w:rsid w:val="3DA2D8C4"/>
    <w:rsid w:val="3DBA28FF"/>
    <w:rsid w:val="3E2B5046"/>
    <w:rsid w:val="3E2E1E89"/>
    <w:rsid w:val="3E3B62F7"/>
    <w:rsid w:val="3E61A823"/>
    <w:rsid w:val="3E73B6FD"/>
    <w:rsid w:val="3E74B26A"/>
    <w:rsid w:val="3EB509E5"/>
    <w:rsid w:val="3EBE7D5C"/>
    <w:rsid w:val="3EF62BBB"/>
    <w:rsid w:val="3F1DE72B"/>
    <w:rsid w:val="3F231115"/>
    <w:rsid w:val="3F49F2B9"/>
    <w:rsid w:val="3F871A8D"/>
    <w:rsid w:val="3F96F1B8"/>
    <w:rsid w:val="3F98B3FC"/>
    <w:rsid w:val="3FC68419"/>
    <w:rsid w:val="3FD06A77"/>
    <w:rsid w:val="3FD2AE1F"/>
    <w:rsid w:val="3FEDF505"/>
    <w:rsid w:val="4073295D"/>
    <w:rsid w:val="407F69B8"/>
    <w:rsid w:val="409D8578"/>
    <w:rsid w:val="40BD154F"/>
    <w:rsid w:val="40E0FE6B"/>
    <w:rsid w:val="40F83F1D"/>
    <w:rsid w:val="40FE504F"/>
    <w:rsid w:val="41291A17"/>
    <w:rsid w:val="415C8FA9"/>
    <w:rsid w:val="415D9971"/>
    <w:rsid w:val="41728038"/>
    <w:rsid w:val="4199C985"/>
    <w:rsid w:val="419DD629"/>
    <w:rsid w:val="419FD14E"/>
    <w:rsid w:val="41A5065B"/>
    <w:rsid w:val="41ADF1A6"/>
    <w:rsid w:val="41C0119A"/>
    <w:rsid w:val="41C081FB"/>
    <w:rsid w:val="425473C1"/>
    <w:rsid w:val="425587ED"/>
    <w:rsid w:val="427C4D03"/>
    <w:rsid w:val="4305BA88"/>
    <w:rsid w:val="43094019"/>
    <w:rsid w:val="430BDAC0"/>
    <w:rsid w:val="4336B623"/>
    <w:rsid w:val="439D6DB4"/>
    <w:rsid w:val="43B3728E"/>
    <w:rsid w:val="43B5681A"/>
    <w:rsid w:val="43CBB37A"/>
    <w:rsid w:val="43D91AAF"/>
    <w:rsid w:val="43FE1B61"/>
    <w:rsid w:val="441CC8B4"/>
    <w:rsid w:val="442AE799"/>
    <w:rsid w:val="44422D3F"/>
    <w:rsid w:val="44515BE1"/>
    <w:rsid w:val="445AE016"/>
    <w:rsid w:val="4483760A"/>
    <w:rsid w:val="44CC9A81"/>
    <w:rsid w:val="44FCEE88"/>
    <w:rsid w:val="45035777"/>
    <w:rsid w:val="4548731F"/>
    <w:rsid w:val="45685CFD"/>
    <w:rsid w:val="4592442E"/>
    <w:rsid w:val="45B85F5B"/>
    <w:rsid w:val="45BA056E"/>
    <w:rsid w:val="45BD3C0B"/>
    <w:rsid w:val="45C9524D"/>
    <w:rsid w:val="45D85F66"/>
    <w:rsid w:val="45E0CD35"/>
    <w:rsid w:val="45F4511A"/>
    <w:rsid w:val="45FB3695"/>
    <w:rsid w:val="4616F0B8"/>
    <w:rsid w:val="46423F74"/>
    <w:rsid w:val="46605B2F"/>
    <w:rsid w:val="466E5AA8"/>
    <w:rsid w:val="4679D196"/>
    <w:rsid w:val="467D5484"/>
    <w:rsid w:val="46E18EE3"/>
    <w:rsid w:val="47085B33"/>
    <w:rsid w:val="4731832F"/>
    <w:rsid w:val="4754E2C2"/>
    <w:rsid w:val="4755D5CF"/>
    <w:rsid w:val="47698AA6"/>
    <w:rsid w:val="4781814D"/>
    <w:rsid w:val="4796753D"/>
    <w:rsid w:val="47EF3201"/>
    <w:rsid w:val="4809241C"/>
    <w:rsid w:val="480D0F11"/>
    <w:rsid w:val="48443668"/>
    <w:rsid w:val="4867241E"/>
    <w:rsid w:val="48BDCF61"/>
    <w:rsid w:val="48DF2BC6"/>
    <w:rsid w:val="48E68BA0"/>
    <w:rsid w:val="48E8E0D2"/>
    <w:rsid w:val="492E1D7C"/>
    <w:rsid w:val="494AD1A4"/>
    <w:rsid w:val="49535494"/>
    <w:rsid w:val="49B88C64"/>
    <w:rsid w:val="49B9C378"/>
    <w:rsid w:val="49D6E688"/>
    <w:rsid w:val="49E1B16E"/>
    <w:rsid w:val="49E2A69C"/>
    <w:rsid w:val="49FD10C9"/>
    <w:rsid w:val="4A114B1B"/>
    <w:rsid w:val="4A19EFAC"/>
    <w:rsid w:val="4A3915CB"/>
    <w:rsid w:val="4A6E0A28"/>
    <w:rsid w:val="4A8404CA"/>
    <w:rsid w:val="4A8918EF"/>
    <w:rsid w:val="4AB697F2"/>
    <w:rsid w:val="4AD854A2"/>
    <w:rsid w:val="4AD8A6E5"/>
    <w:rsid w:val="4AE5D133"/>
    <w:rsid w:val="4AE89982"/>
    <w:rsid w:val="4B496631"/>
    <w:rsid w:val="4B5DB5FB"/>
    <w:rsid w:val="4B9B951F"/>
    <w:rsid w:val="4B9E9F89"/>
    <w:rsid w:val="4BE3DDD0"/>
    <w:rsid w:val="4BEE4376"/>
    <w:rsid w:val="4C06B259"/>
    <w:rsid w:val="4D38BA37"/>
    <w:rsid w:val="4D5EF465"/>
    <w:rsid w:val="4D633352"/>
    <w:rsid w:val="4DC77D88"/>
    <w:rsid w:val="4DCFD1C0"/>
    <w:rsid w:val="4DDF1DF0"/>
    <w:rsid w:val="4E16F3A1"/>
    <w:rsid w:val="4E171EAD"/>
    <w:rsid w:val="4E2A03BB"/>
    <w:rsid w:val="4E302562"/>
    <w:rsid w:val="4EB5B1A3"/>
    <w:rsid w:val="4EC3DAF9"/>
    <w:rsid w:val="4ECDC8A4"/>
    <w:rsid w:val="4F1505D1"/>
    <w:rsid w:val="4F27B620"/>
    <w:rsid w:val="4F4123A2"/>
    <w:rsid w:val="4F5661B7"/>
    <w:rsid w:val="4F6CCF4B"/>
    <w:rsid w:val="4F8725A1"/>
    <w:rsid w:val="4FB96CEE"/>
    <w:rsid w:val="4FBF9083"/>
    <w:rsid w:val="4FC9E16D"/>
    <w:rsid w:val="4FCC5ABF"/>
    <w:rsid w:val="4FD57E14"/>
    <w:rsid w:val="50114A2D"/>
    <w:rsid w:val="5036C77F"/>
    <w:rsid w:val="504C36C5"/>
    <w:rsid w:val="5088F008"/>
    <w:rsid w:val="50EB138F"/>
    <w:rsid w:val="510D9615"/>
    <w:rsid w:val="511C76CF"/>
    <w:rsid w:val="5120AC5E"/>
    <w:rsid w:val="518BC0F4"/>
    <w:rsid w:val="51BDA43B"/>
    <w:rsid w:val="51C9C2C0"/>
    <w:rsid w:val="51E8FF19"/>
    <w:rsid w:val="51F17177"/>
    <w:rsid w:val="51F172DF"/>
    <w:rsid w:val="51F38673"/>
    <w:rsid w:val="5213F925"/>
    <w:rsid w:val="52486128"/>
    <w:rsid w:val="526D95F9"/>
    <w:rsid w:val="52818357"/>
    <w:rsid w:val="528CDE29"/>
    <w:rsid w:val="52A5F3DB"/>
    <w:rsid w:val="52AE72F8"/>
    <w:rsid w:val="52BB563B"/>
    <w:rsid w:val="52C2A282"/>
    <w:rsid w:val="52D212FA"/>
    <w:rsid w:val="52E9B36C"/>
    <w:rsid w:val="53023461"/>
    <w:rsid w:val="5311822D"/>
    <w:rsid w:val="5326D6F4"/>
    <w:rsid w:val="533E2231"/>
    <w:rsid w:val="53648283"/>
    <w:rsid w:val="536AF94B"/>
    <w:rsid w:val="537D605A"/>
    <w:rsid w:val="53F47082"/>
    <w:rsid w:val="5465D820"/>
    <w:rsid w:val="54A6646B"/>
    <w:rsid w:val="54B2CE4B"/>
    <w:rsid w:val="54B3AB8E"/>
    <w:rsid w:val="54FE1E7D"/>
    <w:rsid w:val="550052E4"/>
    <w:rsid w:val="55027C72"/>
    <w:rsid w:val="550404CB"/>
    <w:rsid w:val="5537DDB0"/>
    <w:rsid w:val="5552E0A8"/>
    <w:rsid w:val="5566D98D"/>
    <w:rsid w:val="556C775E"/>
    <w:rsid w:val="557C72FA"/>
    <w:rsid w:val="55F2C5C6"/>
    <w:rsid w:val="56336D95"/>
    <w:rsid w:val="5685495A"/>
    <w:rsid w:val="568DACD9"/>
    <w:rsid w:val="56914E71"/>
    <w:rsid w:val="56B90682"/>
    <w:rsid w:val="56F9ADD1"/>
    <w:rsid w:val="5702A9EE"/>
    <w:rsid w:val="5714ACB2"/>
    <w:rsid w:val="57194295"/>
    <w:rsid w:val="57454A73"/>
    <w:rsid w:val="576C51AC"/>
    <w:rsid w:val="576D80AD"/>
    <w:rsid w:val="57829894"/>
    <w:rsid w:val="57AC99DE"/>
    <w:rsid w:val="57BBDB94"/>
    <w:rsid w:val="581CA677"/>
    <w:rsid w:val="582501A5"/>
    <w:rsid w:val="582EC2B2"/>
    <w:rsid w:val="583E2657"/>
    <w:rsid w:val="5852A208"/>
    <w:rsid w:val="58552AC7"/>
    <w:rsid w:val="5877DE80"/>
    <w:rsid w:val="5885DF51"/>
    <w:rsid w:val="58C3FCEA"/>
    <w:rsid w:val="590C3113"/>
    <w:rsid w:val="591BF766"/>
    <w:rsid w:val="59694E08"/>
    <w:rsid w:val="59711BE1"/>
    <w:rsid w:val="5976B129"/>
    <w:rsid w:val="59774FB4"/>
    <w:rsid w:val="59984602"/>
    <w:rsid w:val="5999C491"/>
    <w:rsid w:val="59BCDB67"/>
    <w:rsid w:val="59D9F6B8"/>
    <w:rsid w:val="5A24097C"/>
    <w:rsid w:val="5A258059"/>
    <w:rsid w:val="5A281FBC"/>
    <w:rsid w:val="5A3A4AB0"/>
    <w:rsid w:val="5A4C148B"/>
    <w:rsid w:val="5A7C2DC5"/>
    <w:rsid w:val="5A98095E"/>
    <w:rsid w:val="5AAA539D"/>
    <w:rsid w:val="5AFE697D"/>
    <w:rsid w:val="5B042999"/>
    <w:rsid w:val="5B5D3E8D"/>
    <w:rsid w:val="5B75886F"/>
    <w:rsid w:val="5B76B2C8"/>
    <w:rsid w:val="5B88B361"/>
    <w:rsid w:val="5B8B0203"/>
    <w:rsid w:val="5B9A52A9"/>
    <w:rsid w:val="5BCC1AC7"/>
    <w:rsid w:val="5BD761B1"/>
    <w:rsid w:val="5C1D80F3"/>
    <w:rsid w:val="5C6996F7"/>
    <w:rsid w:val="5C6F32DE"/>
    <w:rsid w:val="5C937898"/>
    <w:rsid w:val="5C987560"/>
    <w:rsid w:val="5CC0D3AA"/>
    <w:rsid w:val="5CD631DB"/>
    <w:rsid w:val="5CED2893"/>
    <w:rsid w:val="5CF133D1"/>
    <w:rsid w:val="5CF9C7D3"/>
    <w:rsid w:val="5D005896"/>
    <w:rsid w:val="5D05BAF4"/>
    <w:rsid w:val="5D0C2FA2"/>
    <w:rsid w:val="5D2EC26A"/>
    <w:rsid w:val="5D581349"/>
    <w:rsid w:val="5D655A7B"/>
    <w:rsid w:val="5DADB176"/>
    <w:rsid w:val="5DCECF1D"/>
    <w:rsid w:val="5DEDC5E3"/>
    <w:rsid w:val="5E4152B9"/>
    <w:rsid w:val="5E50D104"/>
    <w:rsid w:val="5E67F0FB"/>
    <w:rsid w:val="5E86FA9F"/>
    <w:rsid w:val="5E900BD3"/>
    <w:rsid w:val="5EB4695A"/>
    <w:rsid w:val="5ECC0D1B"/>
    <w:rsid w:val="5ECF61D2"/>
    <w:rsid w:val="5EDCBE00"/>
    <w:rsid w:val="5EEE3510"/>
    <w:rsid w:val="5F15EBE3"/>
    <w:rsid w:val="5F4A420E"/>
    <w:rsid w:val="5F66EEB7"/>
    <w:rsid w:val="5F8B1437"/>
    <w:rsid w:val="5F9A0223"/>
    <w:rsid w:val="5FBF1236"/>
    <w:rsid w:val="5FDBD693"/>
    <w:rsid w:val="5FE1DF7B"/>
    <w:rsid w:val="602ECC92"/>
    <w:rsid w:val="6045E963"/>
    <w:rsid w:val="60561C17"/>
    <w:rsid w:val="607B0EBE"/>
    <w:rsid w:val="609FBD2A"/>
    <w:rsid w:val="60A24B6B"/>
    <w:rsid w:val="611BE54C"/>
    <w:rsid w:val="6158A5B0"/>
    <w:rsid w:val="615ABFE0"/>
    <w:rsid w:val="617BDA2B"/>
    <w:rsid w:val="618AC131"/>
    <w:rsid w:val="6192CFD4"/>
    <w:rsid w:val="6193C483"/>
    <w:rsid w:val="619915AF"/>
    <w:rsid w:val="61A7574B"/>
    <w:rsid w:val="61C0DE1C"/>
    <w:rsid w:val="61DCDFB6"/>
    <w:rsid w:val="61EC0A1C"/>
    <w:rsid w:val="61ED7675"/>
    <w:rsid w:val="622C7DF8"/>
    <w:rsid w:val="624D5EB5"/>
    <w:rsid w:val="625293C2"/>
    <w:rsid w:val="62545BEF"/>
    <w:rsid w:val="6256C0CC"/>
    <w:rsid w:val="6269A59A"/>
    <w:rsid w:val="6287B733"/>
    <w:rsid w:val="62D43974"/>
    <w:rsid w:val="62E29257"/>
    <w:rsid w:val="63228483"/>
    <w:rsid w:val="6329CD73"/>
    <w:rsid w:val="6341B7B4"/>
    <w:rsid w:val="63785D0C"/>
    <w:rsid w:val="6387DA7D"/>
    <w:rsid w:val="63AC0CE0"/>
    <w:rsid w:val="63D811A2"/>
    <w:rsid w:val="63E91A7C"/>
    <w:rsid w:val="64202FB2"/>
    <w:rsid w:val="642CE4DF"/>
    <w:rsid w:val="646C0173"/>
    <w:rsid w:val="64CDD744"/>
    <w:rsid w:val="64D2F8CB"/>
    <w:rsid w:val="64E7648E"/>
    <w:rsid w:val="65077CE5"/>
    <w:rsid w:val="650CE810"/>
    <w:rsid w:val="65112FD8"/>
    <w:rsid w:val="65170D27"/>
    <w:rsid w:val="65359956"/>
    <w:rsid w:val="6542A39C"/>
    <w:rsid w:val="657A49FD"/>
    <w:rsid w:val="6583BBDA"/>
    <w:rsid w:val="6583D4A9"/>
    <w:rsid w:val="658A524A"/>
    <w:rsid w:val="65FA8DAF"/>
    <w:rsid w:val="65FE8A68"/>
    <w:rsid w:val="66109D20"/>
    <w:rsid w:val="661414D4"/>
    <w:rsid w:val="66439BFE"/>
    <w:rsid w:val="668A63EE"/>
    <w:rsid w:val="66BA3495"/>
    <w:rsid w:val="66D24EDA"/>
    <w:rsid w:val="66ED902E"/>
    <w:rsid w:val="66F1F625"/>
    <w:rsid w:val="66F43681"/>
    <w:rsid w:val="67219E11"/>
    <w:rsid w:val="677BB806"/>
    <w:rsid w:val="679339CE"/>
    <w:rsid w:val="67B1E804"/>
    <w:rsid w:val="67F6672B"/>
    <w:rsid w:val="681E040B"/>
    <w:rsid w:val="68366276"/>
    <w:rsid w:val="684DBC23"/>
    <w:rsid w:val="6886C39B"/>
    <w:rsid w:val="688E22C6"/>
    <w:rsid w:val="68A6FC9A"/>
    <w:rsid w:val="68BC8B9F"/>
    <w:rsid w:val="68E944B1"/>
    <w:rsid w:val="68E971B6"/>
    <w:rsid w:val="690BB0B7"/>
    <w:rsid w:val="691CAE07"/>
    <w:rsid w:val="6947D3FD"/>
    <w:rsid w:val="695A05D3"/>
    <w:rsid w:val="695F335D"/>
    <w:rsid w:val="6970694A"/>
    <w:rsid w:val="69BE2D8F"/>
    <w:rsid w:val="69C6D8D4"/>
    <w:rsid w:val="69D9954D"/>
    <w:rsid w:val="6A02EEFA"/>
    <w:rsid w:val="6A15983D"/>
    <w:rsid w:val="6A28F8AA"/>
    <w:rsid w:val="6A576949"/>
    <w:rsid w:val="6A8E0D0A"/>
    <w:rsid w:val="6AD9C71F"/>
    <w:rsid w:val="6AE988C6"/>
    <w:rsid w:val="6AF7C430"/>
    <w:rsid w:val="6AFDF5CD"/>
    <w:rsid w:val="6B0F283E"/>
    <w:rsid w:val="6B16E77E"/>
    <w:rsid w:val="6B4212FD"/>
    <w:rsid w:val="6B8D2C33"/>
    <w:rsid w:val="6B92A87E"/>
    <w:rsid w:val="6BE75FF1"/>
    <w:rsid w:val="6BFD5274"/>
    <w:rsid w:val="6C28354F"/>
    <w:rsid w:val="6C3667A7"/>
    <w:rsid w:val="6C56A790"/>
    <w:rsid w:val="6C6F09DF"/>
    <w:rsid w:val="6C7638B8"/>
    <w:rsid w:val="6C79AAE6"/>
    <w:rsid w:val="6CA37EB4"/>
    <w:rsid w:val="6CA3DAC2"/>
    <w:rsid w:val="6CAD4D68"/>
    <w:rsid w:val="6CD0CB66"/>
    <w:rsid w:val="6CDD7218"/>
    <w:rsid w:val="6CF0F9E8"/>
    <w:rsid w:val="6CF7F0C8"/>
    <w:rsid w:val="6D22265B"/>
    <w:rsid w:val="6D4DB981"/>
    <w:rsid w:val="6D606B1A"/>
    <w:rsid w:val="6D77C929"/>
    <w:rsid w:val="6E008F18"/>
    <w:rsid w:val="6E0A17A8"/>
    <w:rsid w:val="6E0D0F84"/>
    <w:rsid w:val="6E1E7D4C"/>
    <w:rsid w:val="6E32C7D5"/>
    <w:rsid w:val="6E44ACFF"/>
    <w:rsid w:val="6E455B06"/>
    <w:rsid w:val="6E59F10C"/>
    <w:rsid w:val="6E835B8F"/>
    <w:rsid w:val="6EA3BDD0"/>
    <w:rsid w:val="6EA3C401"/>
    <w:rsid w:val="6EA4FAA6"/>
    <w:rsid w:val="6EA625B9"/>
    <w:rsid w:val="6ED7FC89"/>
    <w:rsid w:val="6EE5F4E2"/>
    <w:rsid w:val="6F1EDB26"/>
    <w:rsid w:val="6F2B48A8"/>
    <w:rsid w:val="6F35C721"/>
    <w:rsid w:val="6F4EE3CB"/>
    <w:rsid w:val="6F4FD61B"/>
    <w:rsid w:val="6F68FD42"/>
    <w:rsid w:val="6F6F5D6D"/>
    <w:rsid w:val="6F9D2CDB"/>
    <w:rsid w:val="6F9E980E"/>
    <w:rsid w:val="6FB7C046"/>
    <w:rsid w:val="6FC87C12"/>
    <w:rsid w:val="6FD57FCF"/>
    <w:rsid w:val="6FDF1914"/>
    <w:rsid w:val="6FF5743D"/>
    <w:rsid w:val="700ED268"/>
    <w:rsid w:val="701EA97A"/>
    <w:rsid w:val="703DB2B2"/>
    <w:rsid w:val="7042918E"/>
    <w:rsid w:val="70DA285E"/>
    <w:rsid w:val="7104270F"/>
    <w:rsid w:val="7132357B"/>
    <w:rsid w:val="7142B73B"/>
    <w:rsid w:val="71514CEA"/>
    <w:rsid w:val="7162D0DE"/>
    <w:rsid w:val="71636EEF"/>
    <w:rsid w:val="7172903F"/>
    <w:rsid w:val="71983CC5"/>
    <w:rsid w:val="71B9B9E5"/>
    <w:rsid w:val="71EE71ED"/>
    <w:rsid w:val="71FD620E"/>
    <w:rsid w:val="721533BC"/>
    <w:rsid w:val="7218CE7F"/>
    <w:rsid w:val="72221450"/>
    <w:rsid w:val="72395A48"/>
    <w:rsid w:val="7256E3C7"/>
    <w:rsid w:val="728E2AE5"/>
    <w:rsid w:val="729B964E"/>
    <w:rsid w:val="72A00201"/>
    <w:rsid w:val="72A5571C"/>
    <w:rsid w:val="72B36CFA"/>
    <w:rsid w:val="72FB7691"/>
    <w:rsid w:val="73062AEE"/>
    <w:rsid w:val="731E41A5"/>
    <w:rsid w:val="731F9448"/>
    <w:rsid w:val="7344F460"/>
    <w:rsid w:val="7361ED1B"/>
    <w:rsid w:val="7367AAA9"/>
    <w:rsid w:val="736CDD8F"/>
    <w:rsid w:val="73756D01"/>
    <w:rsid w:val="737B99FB"/>
    <w:rsid w:val="73936240"/>
    <w:rsid w:val="73A36337"/>
    <w:rsid w:val="73D3CC87"/>
    <w:rsid w:val="73E5AB01"/>
    <w:rsid w:val="73FF7F4F"/>
    <w:rsid w:val="741242D9"/>
    <w:rsid w:val="743E8512"/>
    <w:rsid w:val="7454BCE8"/>
    <w:rsid w:val="7471975E"/>
    <w:rsid w:val="747B9847"/>
    <w:rsid w:val="747D33CD"/>
    <w:rsid w:val="749D2478"/>
    <w:rsid w:val="74A62E77"/>
    <w:rsid w:val="74B105A7"/>
    <w:rsid w:val="74C4B42A"/>
    <w:rsid w:val="74F1FE7A"/>
    <w:rsid w:val="74F809FD"/>
    <w:rsid w:val="7515B634"/>
    <w:rsid w:val="7538A776"/>
    <w:rsid w:val="7541BC2E"/>
    <w:rsid w:val="7548C55A"/>
    <w:rsid w:val="754D76DC"/>
    <w:rsid w:val="75875F66"/>
    <w:rsid w:val="759D5561"/>
    <w:rsid w:val="75D7EC85"/>
    <w:rsid w:val="75D8DA6F"/>
    <w:rsid w:val="7605875B"/>
    <w:rsid w:val="762E0698"/>
    <w:rsid w:val="76711AD3"/>
    <w:rsid w:val="76A8E59D"/>
    <w:rsid w:val="76B69D42"/>
    <w:rsid w:val="76CA8AF1"/>
    <w:rsid w:val="76DEBAC2"/>
    <w:rsid w:val="76EC6B7B"/>
    <w:rsid w:val="770F2E1C"/>
    <w:rsid w:val="7712B576"/>
    <w:rsid w:val="77140F2D"/>
    <w:rsid w:val="7724AEE1"/>
    <w:rsid w:val="77480520"/>
    <w:rsid w:val="774B3FAB"/>
    <w:rsid w:val="776693E9"/>
    <w:rsid w:val="7793C535"/>
    <w:rsid w:val="77A93820"/>
    <w:rsid w:val="77C6C416"/>
    <w:rsid w:val="77CEB20E"/>
    <w:rsid w:val="77E9E01E"/>
    <w:rsid w:val="781B96BB"/>
    <w:rsid w:val="78C567EC"/>
    <w:rsid w:val="7946C02A"/>
    <w:rsid w:val="7970A24E"/>
    <w:rsid w:val="79B0D8B8"/>
    <w:rsid w:val="79B44364"/>
    <w:rsid w:val="79DDB6B4"/>
    <w:rsid w:val="79DEEE68"/>
    <w:rsid w:val="7A4188B4"/>
    <w:rsid w:val="7A44AD5A"/>
    <w:rsid w:val="7A765C80"/>
    <w:rsid w:val="7ADC3203"/>
    <w:rsid w:val="7B1C1A71"/>
    <w:rsid w:val="7B2FA846"/>
    <w:rsid w:val="7B475A73"/>
    <w:rsid w:val="7B53714D"/>
    <w:rsid w:val="7B6EB142"/>
    <w:rsid w:val="7B70147F"/>
    <w:rsid w:val="7BD1435E"/>
    <w:rsid w:val="7BE36F79"/>
    <w:rsid w:val="7C020880"/>
    <w:rsid w:val="7C0ADC15"/>
    <w:rsid w:val="7C16A868"/>
    <w:rsid w:val="7C30D48F"/>
    <w:rsid w:val="7C411B84"/>
    <w:rsid w:val="7C53BB32"/>
    <w:rsid w:val="7C80549C"/>
    <w:rsid w:val="7C873737"/>
    <w:rsid w:val="7C9A6120"/>
    <w:rsid w:val="7CA44216"/>
    <w:rsid w:val="7CAC3068"/>
    <w:rsid w:val="7CF6EEB2"/>
    <w:rsid w:val="7D0615BF"/>
    <w:rsid w:val="7D0B1D0D"/>
    <w:rsid w:val="7D589C30"/>
    <w:rsid w:val="7D5D7AF9"/>
    <w:rsid w:val="7D6BC257"/>
    <w:rsid w:val="7DA71E58"/>
    <w:rsid w:val="7DA7DAE9"/>
    <w:rsid w:val="7DB2AD0E"/>
    <w:rsid w:val="7DD47EF8"/>
    <w:rsid w:val="7E0819FC"/>
    <w:rsid w:val="7E7932B5"/>
    <w:rsid w:val="7F2ADB9F"/>
    <w:rsid w:val="7F5F8A87"/>
    <w:rsid w:val="7F5FD886"/>
    <w:rsid w:val="7F7EED2D"/>
    <w:rsid w:val="7F8468F1"/>
    <w:rsid w:val="7F8BA694"/>
    <w:rsid w:val="7F9D1ADF"/>
    <w:rsid w:val="7FA2F405"/>
    <w:rsid w:val="7FC152AA"/>
    <w:rsid w:val="7FC30E28"/>
    <w:rsid w:val="7FFCBE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11">
    <w:name w:val="Default Paragraph Font"/>
    <w:semiHidden/>
    <w:qFormat/>
    <w:uiPriority w:val="0"/>
  </w:style>
  <w:style w:type="table" w:default="1" w:styleId="12">
    <w:name w:val="Normal Table"/>
    <w:semiHidden/>
    <w:unhideWhenUsed/>
    <w:uiPriority w:val="99"/>
    <w:tblPr>
      <w:tblCellMar>
        <w:top w:w="0" w:type="dxa"/>
        <w:left w:w="108" w:type="dxa"/>
        <w:bottom w:w="0" w:type="dxa"/>
        <w:right w:w="108" w:type="dxa"/>
      </w:tblCellMar>
    </w:tblPr>
  </w:style>
  <w:style w:type="paragraph" w:styleId="13">
    <w:name w:val="Balloon Text"/>
    <w:basedOn w:val="1"/>
    <w:link w:val="31"/>
    <w:semiHidden/>
    <w:unhideWhenUsed/>
    <w:qFormat/>
    <w:uiPriority w:val="99"/>
    <w:rPr>
      <w:rFonts w:ascii="Segoe UI" w:hAnsi="Segoe UI" w:cs="Segoe UI"/>
      <w:sz w:val="18"/>
      <w:szCs w:val="18"/>
    </w:rPr>
  </w:style>
  <w:style w:type="paragraph" w:styleId="14">
    <w:name w:val="Body Text"/>
    <w:basedOn w:val="1"/>
    <w:semiHidden/>
    <w:qFormat/>
    <w:uiPriority w:val="0"/>
    <w:rPr>
      <w:rFonts w:ascii="Arial" w:hAnsi="Arial" w:cs="Arial"/>
      <w:color w:val="FF0000"/>
    </w:rPr>
  </w:style>
  <w:style w:type="character" w:styleId="15">
    <w:name w:val="annotation reference"/>
    <w:semiHidden/>
    <w:qFormat/>
    <w:uiPriority w:val="0"/>
    <w:rPr>
      <w:sz w:val="16"/>
    </w:rPr>
  </w:style>
  <w:style w:type="paragraph" w:styleId="16">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17">
    <w:name w:val="footer"/>
    <w:basedOn w:val="1"/>
    <w:semiHidden/>
    <w:qFormat/>
    <w:uiPriority w:val="0"/>
    <w:pPr>
      <w:tabs>
        <w:tab w:val="center" w:pos="4153"/>
        <w:tab w:val="right" w:pos="8306"/>
      </w:tabs>
    </w:pPr>
  </w:style>
  <w:style w:type="paragraph" w:styleId="18">
    <w:name w:val="header"/>
    <w:basedOn w:val="1"/>
    <w:semiHidden/>
    <w:qFormat/>
    <w:uiPriority w:val="0"/>
    <w:pPr>
      <w:tabs>
        <w:tab w:val="center" w:pos="4153"/>
        <w:tab w:val="right" w:pos="8306"/>
      </w:tabs>
    </w:pPr>
  </w:style>
  <w:style w:type="paragraph" w:styleId="19">
    <w:name w:val="Normal (Web)"/>
    <w:semiHidden/>
    <w:unhideWhenUsed/>
    <w:qFormat/>
    <w:uiPriority w:val="0"/>
    <w:pPr>
      <w:spacing w:beforeAutospacing="1" w:afterAutospacing="1"/>
    </w:pPr>
    <w:rPr>
      <w:rFonts w:ascii="Times New Roman" w:hAnsi="Times New Roman" w:eastAsia="SimSun" w:cs="Times New Roman"/>
      <w:sz w:val="24"/>
      <w:szCs w:val="24"/>
      <w:lang w:val="en-US" w:eastAsia="zh-CN" w:bidi="ar-SA"/>
    </w:rPr>
  </w:style>
  <w:style w:type="character" w:styleId="20">
    <w:name w:val="page number"/>
    <w:basedOn w:val="11"/>
    <w:semiHidden/>
    <w:qFormat/>
    <w:uiPriority w:val="0"/>
  </w:style>
  <w:style w:type="character" w:styleId="21">
    <w:name w:val="Strong"/>
    <w:qFormat/>
    <w:uiPriority w:val="0"/>
    <w:rPr>
      <w:b/>
      <w:bCs/>
    </w:rPr>
  </w:style>
  <w:style w:type="table" w:styleId="22">
    <w:name w:val="Table Grid"/>
    <w:basedOn w:val="12"/>
    <w:qFormat/>
    <w:uiPriority w:val="39"/>
    <w:rPr>
      <w:rFonts w:eastAsia="SimSu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
    <w:name w:val="B1"/>
    <w:basedOn w:val="1"/>
    <w:qFormat/>
    <w:uiPriority w:val="0"/>
    <w:pPr>
      <w:ind w:left="567" w:hanging="567"/>
      <w:jc w:val="both"/>
    </w:pPr>
    <w:rPr>
      <w:rFonts w:ascii="Arial" w:hAnsi="Arial"/>
    </w:rPr>
  </w:style>
  <w:style w:type="paragraph" w:customStyle="1" w:styleId="24">
    <w:name w:val="00 BodyText"/>
    <w:basedOn w:val="1"/>
    <w:qFormat/>
    <w:uiPriority w:val="0"/>
    <w:pPr>
      <w:spacing w:after="220"/>
    </w:pPr>
    <w:rPr>
      <w:rFonts w:ascii="Arial" w:hAnsi="Arial"/>
      <w:sz w:val="22"/>
      <w:lang w:val="en-US"/>
    </w:rPr>
  </w:style>
  <w:style w:type="paragraph" w:customStyle="1" w:styleId="25">
    <w:name w:val="??"/>
    <w:qFormat/>
    <w:uiPriority w:val="0"/>
    <w:pPr>
      <w:widowControl w:val="0"/>
    </w:pPr>
    <w:rPr>
      <w:rFonts w:ascii="Times New Roman" w:hAnsi="Times New Roman" w:eastAsia="Times New Roman" w:cs="Times New Roman"/>
      <w:lang w:val="en-US" w:eastAsia="en-US" w:bidi="ar-SA"/>
    </w:rPr>
  </w:style>
  <w:style w:type="paragraph" w:customStyle="1" w:styleId="26">
    <w:name w:val="??? 2"/>
    <w:basedOn w:val="25"/>
    <w:next w:val="25"/>
    <w:qFormat/>
    <w:uiPriority w:val="0"/>
    <w:pPr>
      <w:keepNext/>
    </w:pPr>
    <w:rPr>
      <w:rFonts w:ascii="Arial" w:hAnsi="Arial"/>
      <w:b/>
      <w:sz w:val="24"/>
    </w:rPr>
  </w:style>
  <w:style w:type="paragraph" w:customStyle="1" w:styleId="27">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28">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29">
    <w:name w:val="done"/>
    <w:basedOn w:val="28"/>
    <w:qFormat/>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30">
    <w:name w:val="Not Done"/>
    <w:basedOn w:val="29"/>
    <w:qFormat/>
    <w:uiPriority w:val="0"/>
    <w:pPr>
      <w:numPr>
        <w:numId w:val="4"/>
      </w:numPr>
      <w:tabs>
        <w:tab w:val="left" w:pos="0"/>
      </w:tabs>
    </w:pPr>
    <w:rPr>
      <w:color w:val="FF0000"/>
    </w:rPr>
  </w:style>
  <w:style w:type="character" w:customStyle="1" w:styleId="31">
    <w:name w:val="Balloon Text Char"/>
    <w:link w:val="13"/>
    <w:semiHidden/>
    <w:qFormat/>
    <w:uiPriority w:val="99"/>
    <w:rPr>
      <w:rFonts w:ascii="Segoe UI" w:hAnsi="Segoe UI" w:cs="Segoe UI"/>
      <w:sz w:val="18"/>
      <w:szCs w:val="18"/>
      <w:lang w:eastAsia="en-US"/>
    </w:rPr>
  </w:style>
  <w:style w:type="paragraph" w:customStyle="1" w:styleId="32">
    <w:name w:val="CR Cover Page"/>
    <w:qFormat/>
    <w:uiPriority w:val="0"/>
    <w:pPr>
      <w:spacing w:after="120"/>
    </w:pPr>
    <w:rPr>
      <w:rFonts w:ascii="Arial" w:hAnsi="Arial" w:eastAsia="MS Mincho" w:cs="Times New Roman"/>
      <w:lang w:val="en-GB" w:eastAsia="en-US" w:bidi="ar-SA"/>
    </w:rPr>
  </w:style>
  <w:style w:type="paragraph" w:styleId="33">
    <w:name w:val="List Paragraph"/>
    <w:basedOn w:val="1"/>
    <w:link w:val="34"/>
    <w:qFormat/>
    <w:uiPriority w:val="34"/>
    <w:pPr>
      <w:spacing w:after="180"/>
      <w:ind w:left="720"/>
      <w:contextualSpacing/>
    </w:pPr>
    <w:rPr>
      <w:rFonts w:eastAsia="SimSun"/>
      <w:lang w:val="en-US"/>
    </w:rPr>
  </w:style>
  <w:style w:type="character" w:customStyle="1" w:styleId="34">
    <w:name w:val="List Paragraph Char"/>
    <w:link w:val="33"/>
    <w:qFormat/>
    <w:locked/>
    <w:uiPriority w:val="34"/>
    <w:rPr>
      <w:rFonts w:eastAsia="SimSun"/>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customXml" Target="../customXml/item3.xml"/><Relationship Id="rId25" Type="http://schemas.openxmlformats.org/officeDocument/2006/relationships/customXml" Target="../customXml/item2.xml"/><Relationship Id="rId24" Type="http://schemas.openxmlformats.org/officeDocument/2006/relationships/customXml" Target="../customXml/item1.xml"/><Relationship Id="rId23" Type="http://schemas.openxmlformats.org/officeDocument/2006/relationships/numbering" Target="numbering.xml"/><Relationship Id="rId22" Type="http://schemas.openxmlformats.org/officeDocument/2006/relationships/image" Target="media/image15.jpeg"/><Relationship Id="rId21" Type="http://schemas.openxmlformats.org/officeDocument/2006/relationships/image" Target="media/image14.png"/><Relationship Id="rId20" Type="http://schemas.openxmlformats.org/officeDocument/2006/relationships/image" Target="media/image13.png"/><Relationship Id="rId2" Type="http://schemas.openxmlformats.org/officeDocument/2006/relationships/settings" Target="settings.xml"/><Relationship Id="rId19" Type="http://schemas.openxmlformats.org/officeDocument/2006/relationships/image" Target="media/image12.png"/><Relationship Id="rId18" Type="http://schemas.openxmlformats.org/officeDocument/2006/relationships/image" Target="media/image11.png"/><Relationship Id="rId17" Type="http://schemas.openxmlformats.org/officeDocument/2006/relationships/image" Target="media/image10.png"/><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jpe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21021F0B76E14D831347EC14F3DB69" ma:contentTypeVersion="14" ma:contentTypeDescription="Create a new document." ma:contentTypeScope="" ma:versionID="ac1aa39f0f989ab4f20a77d9143d7630">
  <xsd:schema xmlns:xsd="http://www.w3.org/2001/XMLSchema" xmlns:xs="http://www.w3.org/2001/XMLSchema" xmlns:p="http://schemas.microsoft.com/office/2006/metadata/properties" xmlns:ns2="3414ff91-7f30-43d9-93cf-ca2ba6eae30d" xmlns:ns3="573de55c-008b-44f2-9fb8-6111a4cc7e98" targetNamespace="http://schemas.microsoft.com/office/2006/metadata/properties" ma:root="true" ma:fieldsID="c0a2fee068fafc47cabba6e49cb12150" ns2:_="" ns3:_="">
    <xsd:import namespace="3414ff91-7f30-43d9-93cf-ca2ba6eae30d"/>
    <xsd:import namespace="573de55c-008b-44f2-9fb8-6111a4cc7e9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14ff91-7f30-43d9-93cf-ca2ba6eae3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05e4b02-59c6-46b0-88f0-7219e52ce14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73de55c-008b-44f2-9fb8-6111a4cc7e9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e6c76ce0-3d9b-44b3-8a2f-9b10b3d01ecf}" ma:internalName="TaxCatchAll" ma:showField="CatchAllData" ma:web="573de55c-008b-44f2-9fb8-6111a4cc7e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73de55c-008b-44f2-9fb8-6111a4cc7e98" xsi:nil="true"/>
    <lcf76f155ced4ddcb4097134ff3c332f xmlns="3414ff91-7f30-43d9-93cf-ca2ba6eae30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4885BE-5ECE-4B63-9D70-8D144F742FC1}">
  <ds:schemaRefs/>
</ds:datastoreItem>
</file>

<file path=customXml/itemProps2.xml><?xml version="1.0" encoding="utf-8"?>
<ds:datastoreItem xmlns:ds="http://schemas.openxmlformats.org/officeDocument/2006/customXml" ds:itemID="{F276DD70-933C-420A-AEA4-E3C4974FC3AF}">
  <ds:schemaRefs/>
</ds:datastoreItem>
</file>

<file path=customXml/itemProps3.xml><?xml version="1.0" encoding="utf-8"?>
<ds:datastoreItem xmlns:ds="http://schemas.openxmlformats.org/officeDocument/2006/customXml" ds:itemID="{841A1C11-220A-4D1A-86DD-D6EDCF1D226F}">
  <ds:schemaRefs/>
</ds:datastoreItem>
</file>

<file path=docProps/app.xml><?xml version="1.0" encoding="utf-8"?>
<Properties xmlns="http://schemas.openxmlformats.org/officeDocument/2006/extended-properties" xmlns:vt="http://schemas.openxmlformats.org/officeDocument/2006/docPropsVTypes">
  <Template>Normal.dotm</Template>
  <Company>Lekha Wireless</Company>
  <Pages>14</Pages>
  <Words>3878</Words>
  <Characters>20224</Characters>
  <TotalTime>2</TotalTime>
  <ScaleCrop>false</ScaleCrop>
  <LinksUpToDate>false</LinksUpToDate>
  <CharactersWithSpaces>25306</CharactersWithSpaces>
  <Application>WPS Office_12.2.0.18607_F1E327BC-269C-435d-A152-05C5408002CA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2024-05-03T04:52:00Z</dcterms:created>
  <dc:creator>Roshan S Sam</dc:creator>
  <cp:lastModifiedBy>Lekha</cp:lastModifiedBy>
  <cp:lastPrinted>2002-04-23T16:10:00Z</cp:lastPrinted>
  <dcterms:modified xsi:type="dcterms:W3CDTF">2024-11-08T08:20:47Z</dcterms:modified>
  <dc:title>R1-2409976</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0x010100B421021F0B76E14D831347EC14F3DB69</vt:lpwstr>
  </property>
  <property fmtid="{D5CDD505-2E9C-101B-9397-08002B2CF9AE}" pid="3" name="MediaServiceImageTags">
    <vt:lpwstr/>
  </property>
  <property fmtid="{D5CDD505-2E9C-101B-9397-08002B2CF9AE}" pid="4" name="KSOProductBuildVer">
    <vt:lpwstr>1033-12.2.0.18607</vt:lpwstr>
  </property>
  <property fmtid="{D5CDD505-2E9C-101B-9397-08002B2CF9AE}" pid="5" name="ICV">
    <vt:lpwstr>C6D605D9FC3249678646DEB97D32BB0B_12</vt:lpwstr>
  </property>
</Properties>
</file>